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</w:pPr>
      <w:r>
        <w:rPr>
          <w:rFonts w:ascii="Microsoft YaHei" w:hAnsi="Microsoft YaHei" w:eastAsia="Microsoft YaHei"/>
          <w:b/>
          <w:i w:val="0"/>
          <w:color w:val="5B6770"/>
          <w:sz w:val="21"/>
        </w:rPr>
        <w:t>2026 中国高校计算机大赛 - AIGC创新赛 / 应用赛道复赛</w:t>
      </w:r>
    </w:p>
    <w:p>
      <w:pPr>
        <w:spacing w:before="0" w:after="80" w:line="300" w:lineRule="auto"/>
      </w:pPr>
      <w:r>
        <w:rPr>
          <w:rFonts w:ascii="Microsoft YaHei" w:hAnsi="Microsoft YaHei" w:eastAsia="Microsoft YaHei"/>
          <w:b/>
          <w:i w:val="0"/>
          <w:color w:val="192434"/>
          <w:sz w:val="48"/>
        </w:rPr>
        <w:t>智存复赛四人团队分工与项目完善说明</w:t>
      </w:r>
    </w:p>
    <w:p>
      <w:pPr>
        <w:spacing w:before="0" w:after="280" w:line="300" w:lineRule="auto"/>
      </w:pPr>
      <w:r>
        <w:rPr>
          <w:rFonts w:ascii="Microsoft YaHei" w:hAnsi="Microsoft YaHei" w:eastAsia="Microsoft YaHei"/>
          <w:b w:val="0"/>
          <w:i w:val="0"/>
          <w:color w:val="5B6770"/>
          <w:sz w:val="24"/>
        </w:rPr>
        <w:t>交付导向版本：围绕复赛提交物、评分维度和 vivo 终端落地倒推任务。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44"/>
        <w:gridCol w:w="7416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字段</w:t>
            </w:r>
          </w:p>
        </w:tc>
        <w:tc>
          <w:tcPr>
            <w:tcW w:type="dxa" w:w="74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内容</w:t>
            </w:r>
          </w:p>
        </w:tc>
      </w:tr>
      <w:tr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8"/>
              </w:rPr>
              <w:t>作品名称</w:t>
            </w:r>
          </w:p>
        </w:tc>
        <w:tc>
          <w:tcPr>
            <w:tcW w:type="dxa" w:w="741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8"/>
              </w:rPr>
              <w:t>智存</w:t>
            </w:r>
          </w:p>
        </w:tc>
      </w:tr>
      <w:tr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8"/>
              </w:rPr>
              <w:t>分工口径</w:t>
            </w:r>
          </w:p>
        </w:tc>
        <w:tc>
          <w:tcPr>
            <w:tcW w:type="dxa" w:w="741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8"/>
              </w:rPr>
              <w:t>交付导向：每个人绑定明确提交物、评分项和验收标准</w:t>
            </w:r>
          </w:p>
        </w:tc>
      </w:tr>
      <w:tr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8"/>
              </w:rPr>
              <w:t>适用团队</w:t>
            </w:r>
          </w:p>
        </w:tc>
        <w:tc>
          <w:tcPr>
            <w:tcW w:type="dxa" w:w="741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8"/>
              </w:rPr>
              <w:t>四人团队，成员以 A-D 占位，可直接替换真实姓名</w:t>
            </w:r>
          </w:p>
        </w:tc>
      </w:tr>
      <w:tr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8"/>
              </w:rPr>
              <w:t>当前节点</w:t>
            </w:r>
          </w:p>
        </w:tc>
        <w:tc>
          <w:tcPr>
            <w:tcW w:type="dxa" w:w="741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8"/>
              </w:rPr>
              <w:t>2026-07-01 起执行，优先保证 2026-07-06 前完成复赛作品提交</w:t>
            </w:r>
          </w:p>
        </w:tc>
      </w:tr>
      <w:tr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8"/>
              </w:rPr>
              <w:t>依据材料</w:t>
            </w:r>
          </w:p>
        </w:tc>
        <w:tc>
          <w:tcPr>
            <w:tcW w:type="dxa" w:w="741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8"/>
              </w:rPr>
              <w:t>应用赛道说明、复赛提交清单、策划 PPT 模板、现有 Web/uni-app 原型与 AIAdapter 代码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E8F4EF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总原则</w:t>
            </w:r>
          </w:p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color w:val="192434"/>
                <w:sz w:val="18"/>
              </w:rPr>
              <w:t>复赛不是平均分工，而是交付物负责制。每位成员都要有主责产出、可验收标准和备用协作人；所有材料统一围绕“无感捕获、有序沉淀、秒级寻回”和“端侧隐私知识资产”表达。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一、赛事要求与评分导向摘要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92434"/>
          <w:sz w:val="21"/>
        </w:rPr>
        <w:t>应用赛道要求作品能够落地 vivo 终端设备，作品形态可以是 APP、智能体、快应用或插件。复赛阶段开放云测平台与蓝心端侧大模型能力，因此本项目要把“能运行、能演示、能说明大模型调用、能解释端侧化路线”作为最低交付线。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3096"/>
        <w:gridCol w:w="1296"/>
        <w:gridCol w:w="3384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复赛提交物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必须做到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主责成员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验收标准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策划 PPT</w:t>
            </w:r>
          </w:p>
        </w:tc>
        <w:tc>
          <w:tcPr>
            <w:tcW w:type="dxa" w:w="30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覆盖团队介绍、作品简介、设计理念、原型效果、创新点、前景评估、大模型说明</w:t>
            </w:r>
          </w:p>
        </w:tc>
        <w:tc>
          <w:tcPr>
            <w:tcW w:type="dxa" w:w="12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A</w:t>
            </w:r>
          </w:p>
        </w:tc>
        <w:tc>
          <w:tcPr>
            <w:tcW w:type="dxa" w:w="338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按模板栏目完整填写，PPT 中出现核心界面、流程和代码/接口说明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宣传海报</w:t>
            </w:r>
          </w:p>
        </w:tc>
        <w:tc>
          <w:tcPr>
            <w:tcW w:type="dxa" w:w="30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突出作品名称、核心卖点、目标场景和端侧隐私优势</w:t>
            </w:r>
          </w:p>
        </w:tc>
        <w:tc>
          <w:tcPr>
            <w:tcW w:type="dxa" w:w="12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B</w:t>
            </w:r>
          </w:p>
        </w:tc>
        <w:tc>
          <w:tcPr>
            <w:tcW w:type="dxa" w:w="338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一张可提交海报图，视觉与 PPT/演示视频统一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演示视频</w:t>
            </w:r>
          </w:p>
        </w:tc>
        <w:tc>
          <w:tcPr>
            <w:tcW w:type="dxa" w:w="30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约 3 分钟，竖版 9:16，展示产品功能与操作流程</w:t>
            </w:r>
          </w:p>
        </w:tc>
        <w:tc>
          <w:tcPr>
            <w:tcW w:type="dxa" w:w="12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B</w:t>
            </w:r>
          </w:p>
        </w:tc>
        <w:tc>
          <w:tcPr>
            <w:tcW w:type="dxa" w:w="338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能看清 vivo 端或移动端操作，覆盖捕获、行动卡、知识库、搜索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可运行产品包/链接</w:t>
            </w:r>
          </w:p>
        </w:tc>
        <w:tc>
          <w:tcPr>
            <w:tcW w:type="dxa" w:w="30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提供 uni-app/Android 可运行版本或稳定演示链接</w:t>
            </w:r>
          </w:p>
        </w:tc>
        <w:tc>
          <w:tcPr>
            <w:tcW w:type="dxa" w:w="12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C</w:t>
            </w:r>
          </w:p>
        </w:tc>
        <w:tc>
          <w:tcPr>
            <w:tcW w:type="dxa" w:w="338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在 vivo 真机或云测环境完成运行截图/录屏，保留打包说明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大模型代码包</w:t>
            </w:r>
          </w:p>
        </w:tc>
        <w:tc>
          <w:tcPr>
            <w:tcW w:type="dxa" w:w="30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提交核心功能调用大模型的代码与说明</w:t>
            </w:r>
          </w:p>
        </w:tc>
        <w:tc>
          <w:tcPr>
            <w:tcW w:type="dxa" w:w="12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D</w:t>
            </w:r>
          </w:p>
        </w:tc>
        <w:tc>
          <w:tcPr>
            <w:tcW w:type="dxa" w:w="338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包含 AIAdapter、接口 schema、示例输入输出、隐私与端侧化说明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28"/>
        <w:gridCol w:w="3312"/>
        <w:gridCol w:w="4320"/>
      </w:tblGrid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评分维度</w:t>
            </w:r>
          </w:p>
        </w:tc>
        <w:tc>
          <w:tcPr>
            <w:tcW w:type="dxa" w:w="33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复赛表达重点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项目对应打法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作品创新性</w:t>
            </w:r>
          </w:p>
        </w:tc>
        <w:tc>
          <w:tcPr>
            <w:tcW w:type="dxa" w:w="3312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选题真实、理念贯穿、功能原创、界面完整、交互流畅</w:t>
            </w:r>
          </w:p>
        </w:tc>
        <w:tc>
          <w:tcPr>
            <w:tcW w:type="dxa" w:w="432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用“截图不进相册、跨 App 无感捕获、异构知识卡片、状态保活搜索”支撑创新性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应用价值</w:t>
            </w:r>
          </w:p>
        </w:tc>
        <w:tc>
          <w:tcPr>
            <w:tcW w:type="dxa" w:w="3312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技术可行、可转化、用户需求广泛且高频、市场趋势吻合</w:t>
            </w:r>
          </w:p>
        </w:tc>
        <w:tc>
          <w:tcPr>
            <w:tcW w:type="dxa" w:w="432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聚焦学生学习、攻略收藏、报名通知、课程群消息等高频碎片化信息场景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作品完成度</w:t>
            </w:r>
          </w:p>
        </w:tc>
        <w:tc>
          <w:tcPr>
            <w:tcW w:type="dxa" w:w="3312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资料齐全、原型或 demo 能运行、呈现质量高</w:t>
            </w:r>
          </w:p>
        </w:tc>
        <w:tc>
          <w:tcPr>
            <w:tcW w:type="dxa" w:w="432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把 Web 原型作为展示兜底，把 uni-app/APK 作为复赛运行主线</w:t>
            </w:r>
          </w:p>
        </w:tc>
      </w:tr>
      <w:tr>
        <w:tc>
          <w:tcPr>
            <w:tcW w:type="dxa" w:w="1728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大模型应用能力</w:t>
            </w:r>
          </w:p>
        </w:tc>
        <w:tc>
          <w:tcPr>
            <w:tcW w:type="dxa" w:w="3312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说明大模型应用场景，可通过 API 调用实现产品功能</w:t>
            </w:r>
          </w:p>
        </w:tc>
        <w:tc>
          <w:tcPr>
            <w:tcW w:type="dxa" w:w="432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展示 AIAdapter 将截图转为标题、摘要、标签、待办、材料和提醒的结构化输出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二、团队总体协作原则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434"/>
          <w:sz w:val="20"/>
        </w:rPr>
        <w:t>统一作品名称：所有 PPT、海报、视频、代码说明和演示界面统一使用“智存”，避免“智存/一拍成办/内部代号”混用。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434"/>
          <w:sz w:val="20"/>
        </w:rPr>
        <w:t>统一核心叙事：作品不是普通截图管理工具，而是面向 vivo 端侧 AI 的个人碎片化知识管家。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434"/>
          <w:sz w:val="20"/>
        </w:rPr>
        <w:t>统一演示链路：开启捕获入口、导入或捕获截图、生成 AI 行动卡、保存到私有知识库、语义搜索找回、说明端侧化路线。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434"/>
          <w:sz w:val="20"/>
        </w:rPr>
        <w:t>统一提交节奏：先保复赛可提交，再做决赛增强；复赛优先主动导入和样例捕获，决赛再补真实 MediaProjection、Overlay Service 和模型微调。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434"/>
          <w:sz w:val="20"/>
        </w:rPr>
        <w:t>统一验收方式：每个任务必须产出文件、截图、录屏、代码或文字说明，不能只停留在口头完成。</w:t>
      </w:r>
    </w:p>
    <w:p>
      <w:pPr>
        <w:pStyle w:val="Heading1"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三、四位成员详细职责、阶段任务与交付物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24"/>
        <w:gridCol w:w="1944"/>
        <w:gridCol w:w="2088"/>
        <w:gridCol w:w="4104"/>
      </w:tblGrid>
      <w:tr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成员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角色定位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主责评分项</w:t>
            </w:r>
          </w:p>
        </w:tc>
        <w:tc>
          <w:tcPr>
            <w:tcW w:type="dxa" w:w="41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核心产出</w:t>
            </w:r>
          </w:p>
        </w:tc>
      </w:tr>
      <w:tr>
        <w:tc>
          <w:tcPr>
            <w:tcW w:type="dxa" w:w="122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成员 A</w:t>
            </w:r>
          </w:p>
        </w:tc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产品策划与参赛统筹</w:t>
            </w:r>
          </w:p>
        </w:tc>
        <w:tc>
          <w:tcPr>
            <w:tcW w:type="dxa" w:w="20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应用价值、创新性、资料质量</w:t>
            </w:r>
          </w:p>
        </w:tc>
        <w:tc>
          <w:tcPr>
            <w:tcW w:type="dxa" w:w="410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复赛 PPT 内容总控、痛点与前景评估、答辩逻辑、提交清单</w:t>
            </w:r>
          </w:p>
        </w:tc>
      </w:tr>
      <w:tr>
        <w:tc>
          <w:tcPr>
            <w:tcW w:type="dxa" w:w="122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成员 B</w:t>
            </w:r>
          </w:p>
        </w:tc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UI/交互与宣传表达</w:t>
            </w:r>
          </w:p>
        </w:tc>
        <w:tc>
          <w:tcPr>
            <w:tcW w:type="dxa" w:w="20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界面、交互、资料呈现</w:t>
            </w:r>
          </w:p>
        </w:tc>
        <w:tc>
          <w:tcPr>
            <w:tcW w:type="dxa" w:w="410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页面优化建议、流程图、宣传海报、3 分钟竖版视频</w:t>
            </w:r>
          </w:p>
        </w:tc>
      </w:tr>
      <w:tr>
        <w:tc>
          <w:tcPr>
            <w:tcW w:type="dxa" w:w="122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成员 C</w:t>
            </w:r>
          </w:p>
        </w:tc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移动端工程与 vivo 运行落地</w:t>
            </w:r>
          </w:p>
        </w:tc>
        <w:tc>
          <w:tcPr>
            <w:tcW w:type="dxa" w:w="20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作品完成度、技术可行性</w:t>
            </w:r>
          </w:p>
        </w:tc>
        <w:tc>
          <w:tcPr>
            <w:tcW w:type="dxa" w:w="410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uni-app 工程完善、vivo 运行、APK/链接、操作录屏</w:t>
            </w:r>
          </w:p>
        </w:tc>
      </w:tr>
      <w:tr>
        <w:tc>
          <w:tcPr>
            <w:tcW w:type="dxa" w:w="122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成员 D</w:t>
            </w:r>
          </w:p>
        </w:tc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大模型能力与端侧化方案</w:t>
            </w:r>
          </w:p>
        </w:tc>
        <w:tc>
          <w:tcPr>
            <w:tcW w:type="dxa" w:w="20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大模型应用能力、隐私可信</w:t>
            </w:r>
          </w:p>
        </w:tc>
        <w:tc>
          <w:tcPr>
            <w:tcW w:type="dxa" w:w="410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AIAdapter、OCR/多模态说明、代码包、蓝心端侧接入路线</w:t>
            </w:r>
          </w:p>
        </w:tc>
      </w:tr>
    </w:tbl>
    <w:p>
      <w:pPr>
        <w:spacing w:after="80"/>
      </w:pPr>
    </w:p>
    <w:p>
      <w:pPr>
        <w:pStyle w:val="Heading2"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成员 A：产品策划与参赛统筹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任务定位</w:t>
            </w:r>
          </w:p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color w:val="192434"/>
                <w:sz w:val="18"/>
              </w:rPr>
              <w:t>把项目从“有原型”整理成“评委能快速理解且愿意给分”的参赛作品。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项目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说明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复赛前必须完成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整理 PPT 主线：团队介绍、作品简介、设计理念、核心创新点、前景评估；统一所有文案里的作品名称和核心卖点；建立最终提交清单并每天检查缺口。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每天要做什么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上午同步工程/AI/设计进度，更新一页提交看板；下午把新增功能截图和说明补进 PPT；晚上按评分表逐项查漏补缺。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交付物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复赛策划 PPT 终稿、答辩讲稿提纲、提交清单核对表、项目一页式简介。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验收标准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PPT 不缺模板必填项；每个评分维度至少有 2 个可展示证据；材料能在 3 分钟内讲清楚“痛点-方案-模型-落地”。</w:t>
            </w:r>
          </w:p>
        </w:tc>
      </w:tr>
    </w:tbl>
    <w:p>
      <w:pPr>
        <w:spacing w:after="80"/>
      </w:pPr>
    </w:p>
    <w:p>
      <w:pPr>
        <w:pStyle w:val="Heading2"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成员 B：UI/交互与宣传表达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任务定位</w:t>
            </w:r>
          </w:p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color w:val="192434"/>
                <w:sz w:val="18"/>
              </w:rPr>
              <w:t>把智存的体验做得可看、可讲、可传播，确保评委能在短时间内看到产品闭环。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项目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说明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复赛前必须完成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梳理 1 条主流程和 2 个辅助场景；优化首页、捕获页、行动卡、知识库、搜索页的展示截图；制作宣传海报；完成 9:16 竖版演示视频。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每天要做什么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上午确认当日可录制功能；下午补界面截图和流程图；晚上剪辑视频并同步给成员 A 更新 PPT。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交付物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海报图、演示视频 mp4、核心流程图、关键界面截图包、视频旁白稿。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验收标准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视频约 3 分钟、竖版 9:16、无明显卡顿或看不清文字；海报第一眼能读到“智存”和三段式卖点。</w:t>
            </w:r>
          </w:p>
        </w:tc>
      </w:tr>
    </w:tbl>
    <w:p>
      <w:pPr>
        <w:spacing w:after="80"/>
      </w:pPr>
    </w:p>
    <w:p>
      <w:pPr>
        <w:pStyle w:val="Heading2"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成员 C：移动端工程与 vivo 运行落地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任务定位</w:t>
            </w:r>
          </w:p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color w:val="192434"/>
                <w:sz w:val="18"/>
              </w:rPr>
              <w:t>把当前原型推进到复赛可运行状态，让“完成度”不被扣在工程落地上。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项目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说明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复赛前必须完成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以 uni-app 工程为运行主线，确认 HBuilderX 导入、依赖、页面路由、静态资源和本地存储可用；准备 vivo 真机或云测运行截图；保留 Web demo 作为兜底链接。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每天要做什么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上午修复运行问题；下午打包或真机测试；晚上输出运行说明、问题清单和可录制版本给成员 B。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交付物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可运行产品包或演示链接、HBuilderX 运行说明、vivo 真机/云测截图、关键功能录屏、工程 README。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验收标准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首页、捕获、知识金库、语义搜索、详情页、技术路线页都能走通；返回搜索列表后保留查询状态；本地数据可保存和恢复。</w:t>
            </w:r>
          </w:p>
        </w:tc>
      </w:tr>
    </w:tbl>
    <w:p>
      <w:pPr>
        <w:spacing w:after="80"/>
      </w:pPr>
    </w:p>
    <w:p>
      <w:pPr>
        <w:pStyle w:val="Heading2"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成员 D：大模型能力与端侧化方案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F4F6F9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任务定位</w:t>
            </w:r>
          </w:p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color w:val="192434"/>
                <w:sz w:val="18"/>
              </w:rPr>
              <w:t>证明作品确实用了大模型，并且为 vivo 蓝心端侧能力预留了清晰接口。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项目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说明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复赛前必须完成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整理 AIAdapter 的输入输出协议；准备一次真实或可复现的 API 调用示例；说明 OCR、多模态理解、自动打标、行动卡生成、语义检索如何接入蓝心端侧模型。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每天要做什么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上午确认接口是否可调用；下午更新核心代码包和示例 JSON；晚上给成员 A/B 提供代码截图、模型流程图和视频讲解点。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交付物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大模型调用核心代码包、接口 schema、示例输入输出、端侧化技术说明、隐私边界说明。</w:t>
            </w:r>
          </w:p>
        </w:tc>
      </w:tr>
      <w:tr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验收标准</w:t>
            </w:r>
          </w:p>
        </w:tc>
        <w:tc>
          <w:tcPr>
            <w:tcW w:type="dxa" w:w="756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评委能看到“截图输入-模型理解-结构化行动卡输出”的闭环；代码包能定位到核心 API 调用和模型输出字段；不把端侧化写成空泛口号。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四、项目当前状态与完善修改建议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952"/>
        <w:gridCol w:w="5112"/>
        <w:gridCol w:w="1296"/>
      </w:tblGrid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当前已有基础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复赛要补强的地方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负责人</w:t>
            </w:r>
          </w:p>
        </w:tc>
      </w:tr>
      <w:tr>
        <w:tc>
          <w:tcPr>
            <w:tcW w:type="dxa" w:w="2952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已有 Web 演示和 uni-app 工程骨架</w:t>
            </w:r>
          </w:p>
        </w:tc>
        <w:tc>
          <w:tcPr>
            <w:tcW w:type="dxa" w:w="5112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统一作品名为“智存”；复赛以 uni-app/vivo 运行为主，Web 演示作为兜底展示</w:t>
            </w:r>
          </w:p>
        </w:tc>
        <w:tc>
          <w:tcPr>
            <w:tcW w:type="dxa" w:w="12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成员 C</w:t>
            </w:r>
          </w:p>
        </w:tc>
      </w:tr>
      <w:tr>
        <w:tc>
          <w:tcPr>
            <w:tcW w:type="dxa" w:w="2952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已有 AIAdapter 与 OpenAI 代理代码</w:t>
            </w:r>
          </w:p>
        </w:tc>
        <w:tc>
          <w:tcPr>
            <w:tcW w:type="dxa" w:w="5112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准备可提交代码包，补示例输入输出、接口 schema、模型失败回退和端侧替换说明</w:t>
            </w:r>
          </w:p>
        </w:tc>
        <w:tc>
          <w:tcPr>
            <w:tcW w:type="dxa" w:w="12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成员 D</w:t>
            </w:r>
          </w:p>
        </w:tc>
      </w:tr>
      <w:tr>
        <w:tc>
          <w:tcPr>
            <w:tcW w:type="dxa" w:w="2952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已有私有知识库、样例捕获、语义搜索模拟</w:t>
            </w:r>
          </w:p>
        </w:tc>
        <w:tc>
          <w:tcPr>
            <w:tcW w:type="dxa" w:w="5112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把演示主线固定成“捕获-行动卡-知识库-搜索-技术路线”，减少分散功能介绍</w:t>
            </w:r>
          </w:p>
        </w:tc>
        <w:tc>
          <w:tcPr>
            <w:tcW w:type="dxa" w:w="12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成员 A/B</w:t>
            </w:r>
          </w:p>
        </w:tc>
      </w:tr>
      <w:tr>
        <w:tc>
          <w:tcPr>
            <w:tcW w:type="dxa" w:w="2952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已有端侧化叙事</w:t>
            </w:r>
          </w:p>
        </w:tc>
        <w:tc>
          <w:tcPr>
            <w:tcW w:type="dxa" w:w="5112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把“应用私有目录、SQLite/KV、OCR/蓝心端侧、Overlay、MediaProjection”拆成复赛/决赛两阶段路线</w:t>
            </w:r>
          </w:p>
        </w:tc>
        <w:tc>
          <w:tcPr>
            <w:tcW w:type="dxa" w:w="12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成员 C/D</w:t>
            </w:r>
          </w:p>
        </w:tc>
      </w:tr>
      <w:tr>
        <w:tc>
          <w:tcPr>
            <w:tcW w:type="dxa" w:w="2952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已有初赛策划文档与模板 PPT</w:t>
            </w:r>
          </w:p>
        </w:tc>
        <w:tc>
          <w:tcPr>
            <w:tcW w:type="dxa" w:w="5112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按复赛模板重写材料，补可运行版本、大模型代码、海报、竖版视频证据</w:t>
            </w:r>
          </w:p>
        </w:tc>
        <w:tc>
          <w:tcPr>
            <w:tcW w:type="dxa" w:w="12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7"/>
              </w:rPr>
              <w:t>成员 A/B</w:t>
            </w:r>
          </w:p>
        </w:tc>
      </w:tr>
    </w:tbl>
    <w:p>
      <w:pPr>
        <w:spacing w:after="80"/>
      </w:pPr>
    </w:p>
    <w:p>
      <w:pPr>
        <w:pStyle w:val="Heading2"/>
        <w:spacing w:before="280" w:after="140"/>
      </w:pPr>
      <w:r>
        <w:rPr>
          <w:rFonts w:ascii="Microsoft YaHei" w:hAnsi="Microsoft YaHei" w:eastAsia="Microsoft YaHei"/>
          <w:b/>
          <w:color w:val="2E74B5"/>
          <w:sz w:val="26"/>
        </w:rPr>
        <w:t>复赛版本建议锁定的功能边界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56"/>
        <w:gridCol w:w="3816"/>
        <w:gridCol w:w="3888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F4E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模块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F4E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复赛必须稳定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F4E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可放到决赛继续增强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捕获入口</w:t>
            </w:r>
          </w:p>
        </w:tc>
        <w:tc>
          <w:tcPr>
            <w:tcW w:type="dxa" w:w="381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主动上传截图、样例捕获、悬浮球模拟入口</w:t>
            </w:r>
          </w:p>
        </w:tc>
        <w:tc>
          <w:tcPr>
            <w:tcW w:type="dxa" w:w="38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真实 Android Overlay Service、长按悬浮球跨 App 截屏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AI 理解</w:t>
            </w:r>
          </w:p>
        </w:tc>
        <w:tc>
          <w:tcPr>
            <w:tcW w:type="dxa" w:w="381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截图或文字生成标题、摘要、标签、待办、材料、提醒</w:t>
            </w:r>
          </w:p>
        </w:tc>
        <w:tc>
          <w:tcPr>
            <w:tcW w:type="dxa" w:w="38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蓝心端侧模型离线多模态理解、模型微调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知识库</w:t>
            </w:r>
          </w:p>
        </w:tc>
        <w:tc>
          <w:tcPr>
            <w:tcW w:type="dxa" w:w="381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私有知识库、本地保存、智能文件夹、异构卡片展示</w:t>
            </w:r>
          </w:p>
        </w:tc>
        <w:tc>
          <w:tcPr>
            <w:tcW w:type="dxa" w:w="38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SQLite/KV、向量索引持久化、批量导入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搜索</w:t>
            </w:r>
          </w:p>
        </w:tc>
        <w:tc>
          <w:tcPr>
            <w:tcW w:type="dxa" w:w="381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关键词匹配与语义模拟，返回后状态保活</w:t>
            </w:r>
          </w:p>
        </w:tc>
        <w:tc>
          <w:tcPr>
            <w:tcW w:type="dxa" w:w="38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真实 embedding 检索、多模态相似度召回</w:t>
            </w:r>
          </w:p>
        </w:tc>
      </w:tr>
      <w:tr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隐私说明</w:t>
            </w:r>
          </w:p>
        </w:tc>
        <w:tc>
          <w:tcPr>
            <w:tcW w:type="dxa" w:w="381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不写入系统相册、不自动读取聊天/短信/通知、用户主动导入</w:t>
            </w:r>
          </w:p>
        </w:tc>
        <w:tc>
          <w:tcPr>
            <w:tcW w:type="dxa" w:w="38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系统级权限边界、端侧安全沙箱与权限弹窗细化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五、复赛提交物清单对照表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1944"/>
        <w:gridCol w:w="2520"/>
        <w:gridCol w:w="1080"/>
        <w:gridCol w:w="3096"/>
      </w:tblGrid>
      <w:tr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序号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提交物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文件/内容建议命名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责任人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完成标准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1</w:t>
            </w:r>
          </w:p>
        </w:tc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应用赛道复赛作品策划 PPT</w:t>
            </w:r>
          </w:p>
        </w:tc>
        <w:tc>
          <w:tcPr>
            <w:tcW w:type="dxa" w:w="252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智存_复赛作品策划.pptx</w:t>
            </w:r>
          </w:p>
        </w:tc>
        <w:tc>
          <w:tcPr>
            <w:tcW w:type="dxa" w:w="108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A</w:t>
            </w:r>
          </w:p>
        </w:tc>
        <w:tc>
          <w:tcPr>
            <w:tcW w:type="dxa" w:w="30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模板栏目全部完整；插入成员分工、核心界面、模型调用、端侧路线和提交说明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2</w:t>
            </w:r>
          </w:p>
        </w:tc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作品宣传海报图</w:t>
            </w:r>
          </w:p>
        </w:tc>
        <w:tc>
          <w:tcPr>
            <w:tcW w:type="dxa" w:w="252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智存_宣传海报.png</w:t>
            </w:r>
          </w:p>
        </w:tc>
        <w:tc>
          <w:tcPr>
            <w:tcW w:type="dxa" w:w="108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B</w:t>
            </w:r>
          </w:p>
        </w:tc>
        <w:tc>
          <w:tcPr>
            <w:tcW w:type="dxa" w:w="30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竖版或适合平台展示；包含作品名、三段式卖点、目标用户、vivo 端侧 AI 标签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3</w:t>
            </w:r>
          </w:p>
        </w:tc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作品演示视频</w:t>
            </w:r>
          </w:p>
        </w:tc>
        <w:tc>
          <w:tcPr>
            <w:tcW w:type="dxa" w:w="252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智存_复赛演示视频_9比16.mp4</w:t>
            </w:r>
          </w:p>
        </w:tc>
        <w:tc>
          <w:tcPr>
            <w:tcW w:type="dxa" w:w="108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B</w:t>
            </w:r>
          </w:p>
        </w:tc>
        <w:tc>
          <w:tcPr>
            <w:tcW w:type="dxa" w:w="30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约 3 分钟；按主流程录制；片尾出现作品名称和团队名称占位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4</w:t>
            </w:r>
          </w:p>
        </w:tc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可运行产品包或链接</w:t>
            </w:r>
          </w:p>
        </w:tc>
        <w:tc>
          <w:tcPr>
            <w:tcW w:type="dxa" w:w="252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智存_uniapp工程包.zip / APK / 演示链接</w:t>
            </w:r>
          </w:p>
        </w:tc>
        <w:tc>
          <w:tcPr>
            <w:tcW w:type="dxa" w:w="108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C</w:t>
            </w:r>
          </w:p>
        </w:tc>
        <w:tc>
          <w:tcPr>
            <w:tcW w:type="dxa" w:w="30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能在 vivo 真机、云测或本地移动端稳定打开；附运行说明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5</w:t>
            </w:r>
          </w:p>
        </w:tc>
        <w:tc>
          <w:tcPr>
            <w:tcW w:type="dxa" w:w="194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核心功能调用大模型代码包</w:t>
            </w:r>
          </w:p>
        </w:tc>
        <w:tc>
          <w:tcPr>
            <w:tcW w:type="dxa" w:w="252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智存_AIAdapter_核心代码包.zip</w:t>
            </w:r>
          </w:p>
        </w:tc>
        <w:tc>
          <w:tcPr>
            <w:tcW w:type="dxa" w:w="108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D</w:t>
            </w:r>
          </w:p>
        </w:tc>
        <w:tc>
          <w:tcPr>
            <w:tcW w:type="dxa" w:w="309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包含接口调用代码、schema、示例输入输出、端侧替换说明和隐私说明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space="0" w:color="D7DEE8"/>
              <w:left w:val="single" w:sz="6" w:space="0" w:color="D7DEE8"/>
              <w:bottom w:val="single" w:sz="6" w:space="0" w:color="D7DEE8"/>
              <w:right w:val="single" w:sz="6" w:space="0" w:color="D7DEE8"/>
              <w:insideH w:val="single" w:sz="6" w:space="0" w:color="D7DEE8"/>
              <w:insideV w:val="single" w:sz="6" w:space="0" w:color="D7DEE8"/>
            </w:tcBorders>
            <w:shd w:fill="FFF4D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提交前最后检查</w:t>
            </w:r>
          </w:p>
          <w:p>
            <w:pPr>
              <w:spacing w:before="0" w:after="0" w:line="293" w:lineRule="auto"/>
            </w:pPr>
            <w:r>
              <w:rPr>
                <w:rFonts w:ascii="Microsoft YaHei" w:hAnsi="Microsoft YaHei" w:eastAsia="Microsoft YaHei"/>
                <w:color w:val="192434"/>
                <w:sz w:val="18"/>
              </w:rPr>
              <w:t>压缩包内不要只放源码而没有说明；PPT、视频、海报、代码包中作品名称必须一致；视频里展示的功能必须能在可运行版本中找到对应入口。</w:t>
            </w:r>
          </w:p>
        </w:tc>
      </w:tr>
    </w:tbl>
    <w:p>
      <w:pPr>
        <w:spacing w:after="40"/>
      </w:pPr>
    </w:p>
    <w:p>
      <w:pPr>
        <w:pStyle w:val="Heading1"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六、时间推进建议与风险预案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 w:val="0"/>
          <w:i w:val="0"/>
          <w:color w:val="192434"/>
          <w:sz w:val="21"/>
        </w:rPr>
        <w:t>以下排期以 2026-07-01 为起点，目标是在 2026-07-06 复赛作品提交窗口结束前完成可提交版本。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"/>
        <w:gridCol w:w="1656"/>
        <w:gridCol w:w="1656"/>
        <w:gridCol w:w="1656"/>
        <w:gridCol w:w="1656"/>
        <w:gridCol w:w="1800"/>
      </w:tblGrid>
      <w:tr>
        <w:tc>
          <w:tcPr>
            <w:tcW w:type="dxa" w:w="9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日期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成员 A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成员 B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成员 C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成员 D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E8EEF5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当天验收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07-01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定稿叙事框架和 PPT 目录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确定视觉风格和视频脚本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跑通 uni-app/确认运行问题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整理 AIAdapter 与 schema</w:t>
            </w:r>
          </w:p>
        </w:tc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四人确认主流程和功能边界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07-02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填完作品简介/理念/创新点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补核心界面截图和流程图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修复首页、知识库、搜索链路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跑通或模拟 API 示例输出</w:t>
            </w:r>
          </w:p>
        </w:tc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可演示版本第一次冻结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07-03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补前景评估和评分映射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完成海报初稿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准备真机/云测截图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完成代码包说明初稿</w:t>
            </w:r>
          </w:p>
        </w:tc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PPT 初稿 + 代码包初稿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07-04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整合所有材料进 PPT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录制 9:16 视频素材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输出产品包或链接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补端侧化路线图</w:t>
            </w:r>
          </w:p>
        </w:tc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视频粗剪 + 运行包可打开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07-05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全量审稿和提交清单核对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完成视频终剪和海报终稿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修复最后阻塞问题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压缩核心代码包并检查路径</w:t>
            </w:r>
          </w:p>
        </w:tc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全量材料预提交检查</w:t>
            </w:r>
          </w:p>
        </w:tc>
      </w:tr>
      <w:tr>
        <w:tc>
          <w:tcPr>
            <w:tcW w:type="dxa" w:w="936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07-06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最终提交与备份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提供最终海报/视频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提供最终运行包/链接</w:t>
            </w:r>
          </w:p>
        </w:tc>
        <w:tc>
          <w:tcPr>
            <w:tcW w:type="dxa" w:w="1656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提供最终代码包</w:t>
            </w:r>
          </w:p>
        </w:tc>
        <w:tc>
          <w:tcPr>
            <w:tcW w:type="dxa" w:w="180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4"/>
              </w:rPr>
              <w:t>提交完成后保存云盘备份</w:t>
            </w:r>
          </w:p>
        </w:tc>
      </w:tr>
    </w:tbl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84"/>
        <w:gridCol w:w="2088"/>
        <w:gridCol w:w="4680"/>
        <w:gridCol w:w="1008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FFF4D8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风险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FFF4D8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触发信号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FFF4D8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预案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  <w:insideH w:val="single" w:sz="6" w:space="0" w:color="C9D3DF"/>
              <w:insideV w:val="single" w:sz="6" w:space="0" w:color="C9D3DF"/>
            </w:tcBorders>
            <w:shd w:fill="FFF4D8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92434"/>
                <w:sz w:val="17"/>
              </w:rPr>
              <w:t>负责人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vivo 真机运行不稳定</w:t>
            </w:r>
          </w:p>
        </w:tc>
        <w:tc>
          <w:tcPr>
            <w:tcW w:type="dxa" w:w="20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APK 打包失败、页面白屏、权限异常</w:t>
            </w:r>
          </w:p>
        </w:tc>
        <w:tc>
          <w:tcPr>
            <w:tcW w:type="dxa" w:w="468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保留 H5 演示链接；视频中说明当前为 uni-app 可迁移版本；同时提交运行说明和问题边界</w:t>
            </w:r>
          </w:p>
        </w:tc>
        <w:tc>
          <w:tcPr>
            <w:tcW w:type="dxa" w:w="100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C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大模型 API 不可用</w:t>
            </w:r>
          </w:p>
        </w:tc>
        <w:tc>
          <w:tcPr>
            <w:tcW w:type="dxa" w:w="20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网络、Key、额度或模型接口失败</w:t>
            </w:r>
          </w:p>
        </w:tc>
        <w:tc>
          <w:tcPr>
            <w:tcW w:type="dxa" w:w="468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保留本地 mock 输出；提供一次录屏或 JSON 示例；文档中明确 AIAdapter 可替换为蓝心端侧模型</w:t>
            </w:r>
          </w:p>
        </w:tc>
        <w:tc>
          <w:tcPr>
            <w:tcW w:type="dxa" w:w="100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D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视频超过 3 分钟或重点分散</w:t>
            </w:r>
          </w:p>
        </w:tc>
        <w:tc>
          <w:tcPr>
            <w:tcW w:type="dxa" w:w="20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剪辑后信息过多、讲不完</w:t>
            </w:r>
          </w:p>
        </w:tc>
        <w:tc>
          <w:tcPr>
            <w:tcW w:type="dxa" w:w="468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按主流程删减，只保留捕获、行动卡、知识库、搜索、端侧说明五段</w:t>
            </w:r>
          </w:p>
        </w:tc>
        <w:tc>
          <w:tcPr>
            <w:tcW w:type="dxa" w:w="100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B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40" w:line="283" w:lineRule="auto"/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PPT 材料不齐</w:t>
            </w:r>
          </w:p>
        </w:tc>
        <w:tc>
          <w:tcPr>
            <w:tcW w:type="dxa" w:w="20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缺海报、代码截图、运行截图或流程图</w:t>
            </w:r>
          </w:p>
        </w:tc>
        <w:tc>
          <w:tcPr>
            <w:tcW w:type="dxa" w:w="468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A 维护提交清单，每天晚上逐项点名缺口并指定补交时间</w:t>
            </w:r>
          </w:p>
        </w:tc>
        <w:tc>
          <w:tcPr>
            <w:tcW w:type="dxa" w:w="100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A</w:t>
            </w:r>
          </w:p>
        </w:tc>
      </w:tr>
      <w:tr>
        <w:tc>
          <w:tcPr>
            <w:tcW w:type="dxa" w:w="1584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作品名称和表达不统一</w:t>
            </w:r>
          </w:p>
        </w:tc>
        <w:tc>
          <w:tcPr>
            <w:tcW w:type="dxa" w:w="208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界面或文件仍出现旧名</w:t>
            </w:r>
          </w:p>
        </w:tc>
        <w:tc>
          <w:tcPr>
            <w:tcW w:type="dxa" w:w="4680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提交前全文搜索旧名；说明早期工程代号仅为历史命名，正式作品统一为智存</w:t>
            </w:r>
          </w:p>
        </w:tc>
        <w:tc>
          <w:tcPr>
            <w:tcW w:type="dxa" w:w="1008"/>
            <w:shd w:fill="FFFFFF"/>
          </w:tcPr>
          <w:p>
            <w:pPr>
              <w:spacing w:before="0" w:after="40" w:line="283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color w:val="192434"/>
                <w:sz w:val="16"/>
              </w:rPr>
              <w:t>成员 A/C</w:t>
            </w:r>
          </w:p>
        </w:tc>
      </w:tr>
    </w:tbl>
    <w:p>
      <w:pPr>
        <w:spacing w:after="80"/>
      </w:pPr>
    </w:p>
    <w:p>
      <w:pPr>
        <w:pStyle w:val="Heading1"/>
        <w:spacing w:before="360" w:after="200"/>
      </w:pPr>
      <w:r>
        <w:rPr>
          <w:rFonts w:ascii="Microsoft YaHei" w:hAnsi="Microsoft YaHei" w:eastAsia="Microsoft YaHei"/>
          <w:b/>
          <w:color w:val="2E74B5"/>
          <w:sz w:val="32"/>
        </w:rPr>
        <w:t>七、最终验收口径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434"/>
          <w:sz w:val="20"/>
        </w:rPr>
        <w:t>提交清单五项材料全部存在，并且文件名能一眼识别作品和用途。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434"/>
          <w:sz w:val="20"/>
        </w:rPr>
        <w:t>四位成员各自有明确主责交付物，PPT 团队介绍页能直接引用本说明中的分工。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434"/>
          <w:sz w:val="20"/>
        </w:rPr>
        <w:t>演示流程可以连续完成：捕获入口、AI 行动卡、确认保存、知识库沉淀、语义搜索、技术路线说明。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434"/>
          <w:sz w:val="20"/>
        </w:rPr>
        <w:t>大模型说明不是概念描述，至少出现核心代码路径、接口 schema、示例输入输出或调用截图。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434"/>
          <w:sz w:val="20"/>
        </w:rPr>
        <w:t>端侧化说明分清复赛已实现、复赛模拟、决赛计划，避免夸大当前完成度。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192434"/>
          <w:sz w:val="20"/>
        </w:rPr>
        <w:t>所有材料统一突出：无感捕获、有序沉淀、秒级寻回、隐私端侧化。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/>
    <w:r>
      <w:rPr>
        <w:rFonts w:ascii="Microsoft YaHei" w:hAnsi="Microsoft YaHei" w:eastAsia="Microsoft YaHei"/>
        <w:color w:val="5B6770"/>
        <w:sz w:val="17"/>
      </w:rPr>
      <w:t>内部执行稿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Microsoft YaHei" w:hAnsi="Microsoft YaHei" w:eastAsia="Microsoft YaHei"/>
        <w:color w:val="5B6770"/>
        <w:sz w:val="17"/>
      </w:rPr>
      <w:t>智存复赛分工说明 | 2026 AIGC创新赛 应用赛道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