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Outline: The AI-Native Biotech Executive Memo</w:t>
      </w:r>
    </w:p>
    <w:p>
      <w:pPr>
        <w:jc w:val="left"/>
      </w:pPr>
      <w:r>
        <w:t>This outline establishes the core narrative, conceptual frameworks, and validated research benchmarks for the executive memo. It serves as a detailed blueprint for the final, operator-grade synthesis, demonstrating how late-stage biotechnology organizations can achieve a 10x operational productivity leap by transitioning from traditional statistical machine learning to goal-directed, autonomous agentic systems.</w:t>
      </w:r>
    </w:p>
    <w:p>
      <w:pPr>
        <w:pStyle w:val="Heading2"/>
      </w:pPr>
      <w:r>
        <w:t>Executive Summary</w:t>
      </w:r>
    </w:p>
    <w:p>
      <w:pPr>
        <w:pStyle w:val="ListBullet"/>
      </w:pPr>
      <w:r>
        <w:rPr>
          <w:b/>
        </w:rPr>
        <w:t>The Core Premise</w:t>
      </w:r>
      <w:r>
        <w:t>: The next frontier of biotechnology goes beyond in silico molecular screening or target prediction platforms. While traditional machine learning has successfully transformed early-stage target and drug discovery, the primary operational bottleneck of drug development remains clinical execution, specifically during high-stakes Phase 2 and Phase 3 trials.</w:t>
      </w:r>
    </w:p>
    <w:p>
      <w:pPr>
        <w:pStyle w:val="ListBullet"/>
      </w:pPr>
      <w:r>
        <w:rPr>
          <w:b/>
        </w:rPr>
        <w:t>The Paradigm Shift</w:t>
      </w:r>
      <w:r>
        <w:t>: True AI-native biotechs do not merely run ML models on early-stage target math; they re-engineer the entire operational biology of the company. Every employee is augmented by goal-directed AI agents that run operational processes AI-first, leveraging molecular candidates discovered by advanced ML platforms.</w:t>
      </w:r>
    </w:p>
    <w:p>
      <w:pPr>
        <w:pStyle w:val="ListBullet"/>
      </w:pPr>
      <w:r>
        <w:rPr>
          <w:b/>
        </w:rPr>
        <w:t>The Economic Impact</w:t>
      </w:r>
      <w:r>
        <w:t>: By replacing legacy administrative handoffs and manual audit "white space" with continuous agentic orchestration, an AI-native biotech achieves a 10x operational productivity increase, enables leadership to make high-quality strategic decisions faster, and mitigates critical protocol compliance risks. Crucially, this operational acceleration enables the team to identify, due diligence, and execute licensing deals with unprecedented agility while systematically avoiding the costly operational and strategic missteps that account for 30% to 50% of drug candidate attrition in traditional, legacy biopharma.</w:t>
      </w:r>
    </w:p>
    <w:p>
      <w:pPr>
        <w:pStyle w:val="ListBullet"/>
      </w:pPr>
      <w:r>
        <w:rPr>
          <w:b/>
        </w:rPr>
        <w:t>Biotech as the Ideal Agentic Industry</w:t>
      </w:r>
      <w:r>
        <w:t>: After software, biotechnology is the most natural sector to embrace autonomous agents because its operations are entirely knowledge-based—defined by dense clinical protocols, extensive literature corpuses, massive databases, and highly structured regulatory filings.</w:t>
      </w:r>
    </w:p>
    <w:p>
      <w:pPr>
        <w:pStyle w:val="Heading2"/>
      </w:pPr>
      <w:r>
        <w:t>1. Defining the AI-Native Biotech</w:t>
      </w:r>
    </w:p>
    <w:p>
      <w:pPr>
        <w:pStyle w:val="ListBullet"/>
      </w:pPr>
      <w:r>
        <w:rPr>
          <w:b/>
        </w:rPr>
        <w:t>The Core Definition</w:t>
      </w:r>
      <w:r>
        <w:t>: An AI-native biotechnology company is defined by the operational integration of networks of goal-directed, autonomous AI agents acting as digital teammates across the entire drug development lifecycle. Rather than adapting legacy processes to accommodate software, business operations are designed AI-first: agents proactively orchestrate tasks, reason through complex clinical protocols, parse unstructured patient records, and draft GxP-compliant regulatory filings with human-in-the-loop oversight.</w:t>
      </w:r>
    </w:p>
    <w:p>
      <w:pPr>
        <w:pStyle w:val="ListBullet"/>
      </w:pPr>
      <w:r>
        <w:rPr>
          <w:b/>
        </w:rPr>
        <w:t>The Core Goal</w:t>
      </w:r>
      <w:r>
        <w:t>: Designing and building operational processes AI-first and from scratch. A lean organization staffed by a small team of A-player clinical operators augmented by autonomous agents achieves 10x operational productivity and runs circles around slow legacy conglomerates.</w:t>
      </w:r>
    </w:p>
    <w:p>
      <w:pPr>
        <w:pStyle w:val="ListBullet"/>
      </w:pPr>
      <w:r>
        <w:rPr>
          <w:b/>
        </w:rPr>
        <w:t>Capital vs. Agility Dynamic</w:t>
      </w:r>
      <w:r>
        <w:t>: While established biopharma conglomerates maintain massive capital advantages, the AI-native biotech counteracts this scale with 10x greater agility, effectiveness, and execution efficiency.</w:t>
      </w:r>
    </w:p>
    <w:p>
      <w:pPr>
        <w:pStyle w:val="ListBullet"/>
      </w:pPr>
      <w:r>
        <w:rPr>
          <w:b/>
        </w:rPr>
        <w:t>The Strategic Focus</w:t>
      </w:r>
      <w:r>
        <w:t>: While the company's ultimate business remains the physical therapeutic molecules—not software—every operational workflow is built to maximize agentic productivity, compress clinical timelines, and eliminate administrative "white space" during high-stakes Phase 2/3 trials.</w:t>
      </w:r>
    </w:p>
    <w:p>
      <w:pPr>
        <w:pStyle w:val="ListBullet"/>
      </w:pPr>
      <w:r>
        <w:rPr>
          <w:b/>
        </w:rPr>
        <w:t>A Complementary Upstream Paradigm (Traditional ML)</w:t>
      </w:r>
      <w:r>
        <w:t>: Traditional machine learning platforms represent a highly successful and mature upstream paradigm. These platforms excel at in silico molecular modeling, target prediction, and compound binding optimization, effectively populating the preclinical pipeline with high-quality candidates. The AI-native biotech operates downstream of this molecular design phase, picking up the baton to run the actual operational execution of clinical development.</w:t>
      </w:r>
    </w:p>
    <w:p>
      <w:pPr>
        <w:pStyle w:val="ListBullet"/>
      </w:pPr>
      <w:r>
        <w:rPr>
          <w:b/>
        </w:rPr>
        <w:t>Academic and Industry Validation</w:t>
      </w:r>
      <w:r>
        <w:t>:</w:t>
      </w:r>
    </w:p>
    <w:p>
      <w:pPr>
        <w:pStyle w:val="ListBullet2"/>
      </w:pPr>
      <w:r>
        <w:rPr>
          <w:i/>
        </w:rPr>
        <w:t>ClinicalAgent (arXiv:2404.14777)</w:t>
      </w:r>
      <w:r>
        <w:t>: A multi-agent framework utilizing GPT-4 with ReAct and Least-to-Most prompting structures to function as a virtual clinical team. Improves trial outcome and failure prediction by 0.33 AUC over baseline methods, while dynamically predicting enrollment timelines and highlighting potential bottlenecks. (Yue et al., 2024)</w:t>
      </w:r>
    </w:p>
    <w:p>
      <w:pPr>
        <w:pStyle w:val="ListBullet2"/>
      </w:pPr>
      <w:r>
        <w:rPr>
          <w:i/>
        </w:rPr>
        <w:t>MAKAR (arXiv:2411.14637)</w:t>
      </w:r>
      <w:r>
        <w:t>: A double-module multi-agent system (Collaborator, Critique, Navigator) designed to automate patient-trial eligibility matching. Achieves 7-8% F1-score improvements across clinical datasets and reached 100% accuracy in controlled tasks, executing locally to ensure patient data privacy. (Shi et al., 2024)</w:t>
      </w:r>
    </w:p>
    <w:p>
      <w:pPr>
        <w:pStyle w:val="ListBullet2"/>
      </w:pPr>
      <w:r>
        <w:rPr>
          <w:i/>
        </w:rPr>
        <w:t>BioXconomy CRA Analysis</w:t>
      </w:r>
      <w:r>
        <w:t>: An industry analysis demonstrating the efficiency of risk-based monitoring agents in handling 80% of routine verification, site messaging, and monitoring report generation, shifting human CRAs from travel-heavy administrative auditing to high-value medical oversight.</w:t>
      </w:r>
    </w:p>
    <w:p>
      <w:pPr>
        <w:pStyle w:val="ListBullet2"/>
      </w:pPr>
      <w:r>
        <w:rPr>
          <w:i/>
        </w:rPr>
        <w:t>Human Oversight Dynamics (JMIR AI, 2026)</w:t>
      </w:r>
      <w:r>
        <w:t>: A structured sociotechnical framework governing the interaction between human clinical staff and autonomous AI agents. Highlights that successful deployment requires configuring explicit oversight intensity, override authority, explanation timing, and escalation logic to prevent workflow disruption and ensure patient safety.</w:t>
      </w:r>
    </w:p>
    <w:p>
      <w:pPr>
        <w:pStyle w:val="Heading2"/>
      </w:pPr>
      <w:r>
        <w:t>2. 360 Degrees AI Adoption</w:t>
      </w:r>
    </w:p>
    <w:p>
      <w:pPr>
        <w:pStyle w:val="ListBullet"/>
      </w:pPr>
      <w:r>
        <w:rPr>
          <w:b/>
        </w:rPr>
        <w:t>Ubiquitous Agent Integration</w:t>
      </w:r>
      <w:r>
        <w:t>: Everyone in the organization—from the Chief Medical Officer to the clinical medical writer—operates with and through autonomous AI agents.</w:t>
      </w:r>
    </w:p>
    <w:p>
      <w:pPr>
        <w:pStyle w:val="ListBullet"/>
      </w:pPr>
      <w:r>
        <w:rPr>
          <w:b/>
        </w:rPr>
        <w:t>The Reality of Current Tooling</w:t>
      </w:r>
      <w:r>
        <w:t>:</w:t>
      </w:r>
    </w:p>
    <w:p>
      <w:pPr>
        <w:pStyle w:val="ListBullet2"/>
      </w:pPr>
      <w:r>
        <w:t xml:space="preserve">Clinical and business teams rely on developer-centric tools like </w:t>
      </w:r>
      <w:r>
        <w:rPr>
          <w:b/>
        </w:rPr>
        <w:t>OpenCode</w:t>
      </w:r>
      <w:r>
        <w:t xml:space="preserve"> or the </w:t>
      </w:r>
      <w:r>
        <w:rPr>
          <w:b/>
        </w:rPr>
        <w:t>Hermes Agent</w:t>
      </w:r>
      <w:r>
        <w:t xml:space="preserve"> core.</w:t>
      </w:r>
    </w:p>
    <w:p>
      <w:pPr>
        <w:pStyle w:val="ListBullet2"/>
      </w:pPr>
      <w:r>
        <w:t>While developer-centric and initially unfamiliar or awkward for business operators, these tools represent the most mature, capable, and reasoning-dense agent cores available in the market today.</w:t>
      </w:r>
    </w:p>
    <w:p>
      <w:pPr>
        <w:pStyle w:val="ListBullet2"/>
      </w:pPr>
      <w:r>
        <w:t>The AI-native biotech embraces this initial friction to secure an immediate head start, while actively building and driving the development of business-friendly, model-agnostic, and open-source equivalents.</w:t>
      </w:r>
    </w:p>
    <w:p>
      <w:pPr>
        <w:pStyle w:val="ListBullet"/>
      </w:pPr>
      <w:r>
        <w:rPr>
          <w:b/>
        </w:rPr>
        <w:t>Model-Agnostic and Open Architecture (Strategic Imperatives)</w:t>
      </w:r>
      <w:r>
        <w:t>:</w:t>
      </w:r>
    </w:p>
    <w:p>
      <w:pPr>
        <w:pStyle w:val="ListBullet2"/>
      </w:pPr>
      <w:r>
        <w:rPr>
          <w:i/>
        </w:rPr>
        <w:t>Mitigating the Shifting Pareto Curve</w:t>
      </w:r>
      <w:r>
        <w:t xml:space="preserve">: Standardizing a single model vendor is economically indefensible as the capability-to-cost frontier shifts quarterly. The ideal AI-native setup must be </w:t>
      </w:r>
      <w:r>
        <w:rPr>
          <w:b/>
        </w:rPr>
        <w:t>model-agnostic</w:t>
      </w:r>
      <w:r>
        <w:t>, using a flexible orchestration layer (built on open frameworks such as OpenHands, OpenCode, or Hermes Agent) that dynamically routes, caches, and swaps models based on cost and performance parameters without infrastructure rewrites.</w:t>
      </w:r>
    </w:p>
    <w:p>
      <w:pPr>
        <w:pStyle w:val="ListBullet2"/>
      </w:pPr>
      <w:r>
        <w:rPr>
          <w:i/>
        </w:rPr>
        <w:t>Active Token Cost Management</w:t>
      </w:r>
      <w:r>
        <w:t>: Implementing tiered routing architectures that default simple reasoning tasks to highly cost-effective open-source or local models while selectively routing complex, multi-step work to frontier models, optimized via semantic caching.</w:t>
      </w:r>
    </w:p>
    <w:p>
      <w:pPr>
        <w:pStyle w:val="ListBullet2"/>
      </w:pPr>
      <w:r>
        <w:rPr>
          <w:i/>
        </w:rPr>
        <w:t>Resisting Platform Lock-In</w:t>
      </w:r>
      <w:r>
        <w:t xml:space="preserve">: Proprietary platform orchestration layers impose a high "abstraction tax" and carry dangerous operational lock-in risks. The AI-native biotech mandates an </w:t>
      </w:r>
      <w:r>
        <w:rPr>
          <w:b/>
        </w:rPr>
        <w:t>open architecture</w:t>
      </w:r>
      <w:r>
        <w:t xml:space="preserve"> that preserves the clear boundary between the model layer and the application layer, ensuring absolute portability and enabling the company to retain full operational sovereignty over its custom AI systems and proprietary IP.</w:t>
      </w:r>
    </w:p>
    <w:p>
      <w:pPr>
        <w:pStyle w:val="ListBullet"/>
      </w:pPr>
      <w:r>
        <w:rPr>
          <w:b/>
        </w:rPr>
        <w:t>Initializing Agent-Friendly Workflows</w:t>
      </w:r>
      <w:r>
        <w:t>:</w:t>
      </w:r>
    </w:p>
    <w:p>
      <w:pPr>
        <w:pStyle w:val="ListBullet2"/>
      </w:pPr>
      <w:r>
        <w:t>AI agents operate with maximum fidelity when processing structured text and Markdown.</w:t>
      </w:r>
    </w:p>
    <w:p>
      <w:pPr>
        <w:pStyle w:val="ListBullet2"/>
      </w:pPr>
      <w:r>
        <w:t xml:space="preserve">The organization makes an explicit operational pivot: </w:t>
      </w:r>
      <w:r>
        <w:rPr>
          <w:b/>
        </w:rPr>
        <w:t>minimizing PowerPoint slides</w:t>
      </w:r>
      <w:r>
        <w:t xml:space="preserve"> and human-centric narrative-hiding formats.</w:t>
      </w:r>
    </w:p>
    <w:p>
      <w:pPr>
        <w:pStyle w:val="ListBullet2"/>
      </w:pPr>
      <w:r>
        <w:t>All strategic analyses, protocols, meeting memos, and design decisions are authored in Markdown. This allows agents to seamlessly ingest, link, reason over, and update the corporate knowledge corpus without human transcription friction.</w:t>
      </w:r>
    </w:p>
    <w:p>
      <w:pPr>
        <w:pStyle w:val="ListBullet"/>
      </w:pPr>
      <w:r>
        <w:rPr>
          <w:b/>
        </w:rPr>
        <w:t>The 11 Roles Across 6 Operational Domains</w:t>
      </w:r>
      <w:r>
        <w:t>:</w:t>
      </w:r>
    </w:p>
    <w:p>
      <w:pPr>
        <w:pStyle w:val="ListBullet2"/>
      </w:pPr>
      <w:r>
        <w:rPr>
          <w:b/>
        </w:rPr>
        <w:t>Domain 1: Clinical Development &amp; Biometrics</w:t>
      </w:r>
    </w:p>
    <w:p>
      <w:pPr>
        <w:pStyle w:val="ListBullet3"/>
      </w:pPr>
      <w:r>
        <w:rPr>
          <w:i/>
        </w:rPr>
        <w:t>Role 1: The Chief Medical Officer — Protocol Orchestration</w:t>
      </w:r>
      <w:r>
        <w:t>: Senior clinical strategist responsible for trial design, augmented by multi-agent swarms (Protocol Design, Protocol Burden, Protocol Auditor) to automate compliant, patient-centric, and low-burden protocol designs.</w:t>
      </w:r>
    </w:p>
    <w:p>
      <w:pPr>
        <w:pStyle w:val="ListBullet3"/>
      </w:pPr>
      <w:r>
        <w:rPr>
          <w:i/>
        </w:rPr>
        <w:t>Role 2: The Lead Biostatistician — Analytical Programming</w:t>
      </w:r>
      <w:r>
        <w:t>: Quantitative expert responsible for statistical powering and trial data analysis, utilizing automated double-programming pipelines (SAP Architect Agent, Code Generator, Audit agents) to mathematically verify SAS/R results.</w:t>
      </w:r>
    </w:p>
    <w:p>
      <w:pPr>
        <w:pStyle w:val="ListBullet2"/>
      </w:pPr>
      <w:r>
        <w:rPr>
          <w:b/>
        </w:rPr>
        <w:t>Domain 2: Clinical Operations (ClinOps)</w:t>
      </w:r>
    </w:p>
    <w:p>
      <w:pPr>
        <w:pStyle w:val="ListBullet3"/>
      </w:pPr>
      <w:r>
        <w:rPr>
          <w:i/>
        </w:rPr>
        <w:t>Role 3: The Head of Clinical Operations — Trial Orchestration</w:t>
      </w:r>
      <w:r>
        <w:t>: Operational leader managing global clinical trial sites, enrollment, and variable costs via agentic CTMS and EDC integrations that track velocities and predict trial durations.</w:t>
      </w:r>
    </w:p>
    <w:p>
      <w:pPr>
        <w:pStyle w:val="ListBullet3"/>
      </w:pPr>
      <w:r>
        <w:rPr>
          <w:i/>
        </w:rPr>
        <w:t>Role 4: The CRO Management Lead — Vendor Governance</w:t>
      </w:r>
      <w:r>
        <w:t>: Vendor manager governing Contract Research Organizations and monitoring budgets through autonomous billing audit agents that ingest CRO updates and match them against patient records.</w:t>
      </w:r>
    </w:p>
    <w:p>
      <w:pPr>
        <w:pStyle w:val="ListBullet2"/>
      </w:pPr>
      <w:r>
        <w:rPr>
          <w:b/>
        </w:rPr>
        <w:t>Domain 3: CMC &amp; Supply Chain</w:t>
      </w:r>
    </w:p>
    <w:p>
      <w:pPr>
        <w:pStyle w:val="ListBullet3"/>
      </w:pPr>
      <w:r>
        <w:rPr>
          <w:i/>
        </w:rPr>
        <w:t>Role 5: The VP of CMC — Manufacturing Dossier Assembly</w:t>
      </w:r>
      <w:r>
        <w:t>: Chemistry, Manufacturing, and Controls leader scaling batch production to GMP standards, augmented by real-time sensor audit agents that compile CTD Module 3 (Quality).</w:t>
      </w:r>
    </w:p>
    <w:p>
      <w:pPr>
        <w:pStyle w:val="ListBullet3"/>
      </w:pPr>
      <w:r>
        <w:rPr>
          <w:i/>
        </w:rPr>
        <w:t>Role 6: The Clinical Supply Chain Manager — Inventory Simulation</w:t>
      </w:r>
      <w:r>
        <w:t>: Logistics manager ensuring uninterrupted global clinical supply chain operations using demand-supply simulation agents connected to IRT/RTSM.</w:t>
      </w:r>
    </w:p>
    <w:p>
      <w:pPr>
        <w:pStyle w:val="ListBullet2"/>
      </w:pPr>
      <w:r>
        <w:rPr>
          <w:b/>
        </w:rPr>
        <w:t>Domain 4: Regulatory Affairs &amp; Quality Assurance (QA/QC)</w:t>
      </w:r>
    </w:p>
    <w:p>
      <w:pPr>
        <w:pStyle w:val="ListBullet3"/>
      </w:pPr>
      <w:r>
        <w:rPr>
          <w:i/>
        </w:rPr>
        <w:t>Role 7: The VP of Regulatory Affairs — Submission Swarm Orchestration</w:t>
      </w:r>
      <w:r>
        <w:t>: Regulatory lead driving the NDA/BLA dossier assembly via automated multi-agent drafting and auditing swarms (drafting CTD Module 2 &amp; 5, auditing claims back to SAS tables).</w:t>
      </w:r>
    </w:p>
    <w:p>
      <w:pPr>
        <w:pStyle w:val="ListBullet3"/>
      </w:pPr>
      <w:r>
        <w:rPr>
          <w:i/>
        </w:rPr>
        <w:t>Role 8: The Head of Clinical Quality — Inspection Readiness Auditing</w:t>
      </w:r>
      <w:r>
        <w:t>: Quality assurance lead ensuring GCP compliance through continuous eTMF and EDC background auditing agents.</w:t>
      </w:r>
    </w:p>
    <w:p>
      <w:pPr>
        <w:pStyle w:val="ListBullet2"/>
      </w:pPr>
      <w:r>
        <w:rPr>
          <w:b/>
        </w:rPr>
        <w:t>Domain 5: Commercial Readiness &amp; Market Access</w:t>
      </w:r>
    </w:p>
    <w:p>
      <w:pPr>
        <w:pStyle w:val="ListBullet3"/>
      </w:pPr>
      <w:r>
        <w:rPr>
          <w:i/>
        </w:rPr>
        <w:t>Role 9: The Chief Commercial Officer — Launch Readiness</w:t>
      </w:r>
      <w:r>
        <w:t>: Commercial leader mapping competitive landscapes and GTM strategies using crawling and medical communication agents to prepare custom content and slide decks.</w:t>
      </w:r>
    </w:p>
    <w:p>
      <w:pPr>
        <w:pStyle w:val="ListBullet3"/>
      </w:pPr>
      <w:r>
        <w:rPr>
          <w:i/>
        </w:rPr>
        <w:t>Role 10: The Market Access Director — HEOR Synthesis</w:t>
      </w:r>
      <w:r>
        <w:t>: HEOR specialist demonstrating clinical cost-effectiveness and running automated pricing simulations (Monte Carlo) against global reimbursement frameworks.</w:t>
      </w:r>
    </w:p>
    <w:p>
      <w:pPr>
        <w:pStyle w:val="ListBullet2"/>
      </w:pPr>
      <w:r>
        <w:rPr>
          <w:b/>
        </w:rPr>
        <w:t>Domain 6: Capital Strategy</w:t>
      </w:r>
    </w:p>
    <w:p>
      <w:pPr>
        <w:pStyle w:val="ListBullet3"/>
      </w:pPr>
      <w:r>
        <w:rPr>
          <w:i/>
        </w:rPr>
        <w:t>Role 11: The CFO — Capital Strategy and Cash Burn Simulation</w:t>
      </w:r>
      <w:r>
        <w:t>: Financial strategist balancing fixed operating costs against clinical trial variables using automated forecasting networks and live Monte Carlo cash burn simulations.</w:t>
      </w:r>
    </w:p>
    <w:p>
      <w:pPr>
        <w:pStyle w:val="Heading2"/>
      </w:pPr>
      <w:r>
        <w:t>3. Decision Support: Technical Mitigation of Human Bias</w:t>
      </w:r>
    </w:p>
    <w:p>
      <w:pPr>
        <w:pStyle w:val="ListBullet"/>
      </w:pPr>
      <w:r>
        <w:rPr>
          <w:b/>
        </w:rPr>
        <w:t>The High Cost of Cognitive Bias</w:t>
      </w:r>
      <w:r>
        <w:t>: Cognitive biases systematically distort pharmaceutical R&amp;D, particularly at the critical "Go/No-Go" stage gates where massive capital is committed.</w:t>
      </w:r>
    </w:p>
    <w:p>
      <w:pPr>
        <w:pStyle w:val="ListBullet2"/>
      </w:pPr>
      <w:r>
        <w:rPr>
          <w:i/>
        </w:rPr>
        <w:t>The Survey Benchmarks</w:t>
      </w:r>
      <w:r>
        <w:t>: Prevalent biases identified by Truebel &amp; Seidler (Nature Reviews Drug Discovery, 2022) and Bieske et al. (Drug Discovery Today, 2023) include:</w:t>
      </w:r>
    </w:p>
    <w:p>
      <w:pPr>
        <w:pStyle w:val="ListBullet3"/>
      </w:pPr>
      <w:r>
        <w:rPr>
          <w:b/>
        </w:rPr>
        <w:t>Confirmation Bias (57% prevalence)</w:t>
      </w:r>
      <w:r>
        <w:t>: Designing trials to confirm hypotheses; selective endpoint selection.</w:t>
      </w:r>
    </w:p>
    <w:p>
      <w:pPr>
        <w:pStyle w:val="ListBullet3"/>
      </w:pPr>
      <w:r>
        <w:rPr>
          <w:b/>
        </w:rPr>
        <w:t>Champion Bias</w:t>
      </w:r>
      <w:r>
        <w:t>: Overweighing proposals based on the personal track record of a senior advocate.</w:t>
      </w:r>
    </w:p>
    <w:p>
      <w:pPr>
        <w:pStyle w:val="ListBullet3"/>
      </w:pPr>
      <w:r>
        <w:rPr>
          <w:b/>
        </w:rPr>
        <w:t>Sunk-Cost Fallacy</w:t>
      </w:r>
      <w:r>
        <w:t>: Continuing failing clinical programs due to cumulative historical spending.</w:t>
      </w:r>
    </w:p>
    <w:p>
      <w:pPr>
        <w:pStyle w:val="ListBullet3"/>
      </w:pPr>
      <w:r>
        <w:rPr>
          <w:b/>
        </w:rPr>
        <w:t>Groupthink &amp; Consensus Bias</w:t>
      </w:r>
      <w:r>
        <w:t>: Governance committees converging on consensus, suppressing critical dissent.</w:t>
      </w:r>
    </w:p>
    <w:p>
      <w:pPr>
        <w:pStyle w:val="ListBullet"/>
      </w:pPr>
      <w:r>
        <w:rPr>
          <w:b/>
        </w:rPr>
        <w:t>Operationalizing Mitigations via AI Agents</w:t>
      </w:r>
      <w:r>
        <w:t>:</w:t>
      </w:r>
    </w:p>
    <w:p>
      <w:pPr>
        <w:pStyle w:val="ListBullet2"/>
      </w:pPr>
      <w:r>
        <w:t>AI agents serve as disinterested, non-incentivized program reviewers.</w:t>
      </w:r>
    </w:p>
    <w:p>
      <w:pPr>
        <w:pStyle w:val="ListBullet2"/>
      </w:pPr>
      <w:r>
        <w:rPr>
          <w:i/>
        </w:rPr>
        <w:t>Massive Context Assimilation</w:t>
      </w:r>
      <w:r>
        <w:t>: AI agents can be commanded to ingest and synthesize a volume of context that far exceeds human cognitive limits—including thousands of clinical trials, real-world evidence (RWE) datasets, regulatory precedent guidelines, and safety alerts.</w:t>
      </w:r>
    </w:p>
    <w:p>
      <w:pPr>
        <w:pStyle w:val="ListBullet2"/>
      </w:pPr>
      <w:r>
        <w:rPr>
          <w:i/>
        </w:rPr>
        <w:t>Surfacing Emergent &amp; Non-Obvious Horizontal Issues</w:t>
      </w:r>
      <w:r>
        <w:t>: By cross-referencing disparate databases, literature corpuses, and meeting notes in real time, agents detect hidden, horizontal correlations (such as systemic safety signals across mechanistically unrelated trials, CMC manufacturing anomalies, or shifts in regulatory precedents) that would otherwise remain siloed and invisible to human teams.</w:t>
      </w:r>
    </w:p>
    <w:p>
      <w:pPr>
        <w:pStyle w:val="ListBullet2"/>
      </w:pPr>
      <w:r>
        <w:rPr>
          <w:i/>
        </w:rPr>
        <w:t>Systematic Go/No-Go Gating</w:t>
      </w:r>
      <w:r>
        <w:t>: Agents continuously evaluate trial data against precommitted, quantifiable target product profiles (TPPs), alerting teams immediately of deviations rather than waiting for formal stage-gate reviews.</w:t>
      </w:r>
    </w:p>
    <w:p>
      <w:pPr>
        <w:pStyle w:val="ListBullet2"/>
      </w:pPr>
      <w:r>
        <w:rPr>
          <w:i/>
        </w:rPr>
        <w:t>The "No-Go" Advocate</w:t>
      </w:r>
      <w:r>
        <w:t>: Because no human career is incentivized to argue for killing a program, specialized agents are prompted to act as permanent adversarial reviewers, generating robust counter-arguments against proceeding.</w:t>
      </w:r>
    </w:p>
    <w:p>
      <w:pPr>
        <w:pStyle w:val="ListBullet2"/>
      </w:pPr>
      <w:r>
        <w:rPr>
          <w:i/>
        </w:rPr>
        <w:t>Recency Bias Mitigation</w:t>
      </w:r>
      <w:r>
        <w:t>: Agents automatically inject historical context, ensuring portfolios are not disproportionately altered by a single recent clinical readout or a competitor's positive press release.</w:t>
      </w:r>
    </w:p>
    <w:p>
      <w:pPr>
        <w:pStyle w:val="ListBullet"/>
      </w:pPr>
      <w:r>
        <w:rPr>
          <w:b/>
        </w:rPr>
        <w:t>Simplifying the Operational Mechanism</w:t>
      </w:r>
      <w:r>
        <w:t>:</w:t>
      </w:r>
    </w:p>
    <w:p>
      <w:pPr>
        <w:pStyle w:val="ListBullet2"/>
      </w:pPr>
      <w:r>
        <w:t>Rather than relying on complex or highly tangential software frameworks, the key mechanism is the unique capacity of AI agents to simultaneously ingest, retain, and synthesize content from 10 to 20 recent clinical studies, historical trials, and regulatory guidelines in active memory.</w:t>
      </w:r>
    </w:p>
    <w:p>
      <w:pPr>
        <w:pStyle w:val="ListBullet2"/>
      </w:pPr>
      <w:r>
        <w:rPr>
          <w:i/>
        </w:rPr>
        <w:t>Recency Bias Mitigation</w:t>
      </w:r>
      <w:r>
        <w:t>: The human brain naturally suffers from recency bias, over-indexing on the latest clinical trial outcome or loudest committee opinion. Agents provide a statistically balanced, objective evidence base that actively counteracts this anchoring and prevents emotional Go/No-Go decisions.</w:t>
      </w:r>
    </w:p>
    <w:p>
      <w:pPr>
        <w:pStyle w:val="Heading2"/>
      </w:pPr>
      <w:r>
        <w:t>4. Synthetic KOL: Virtual Advisory Panels</w:t>
      </w:r>
    </w:p>
    <w:p>
      <w:pPr>
        <w:pStyle w:val="ListBullet"/>
      </w:pPr>
      <w:r>
        <w:rPr>
          <w:b/>
        </w:rPr>
        <w:t>The Concept</w:t>
      </w:r>
      <w:r>
        <w:t>: Translating publications, patents, clinical trial registries, regulatory guidelines, and insurance coverage histories into highly customized virtual expert personas, expanding panels beyond key opinion leaders (KOLs) to include virtual regulatory auditors and synthetic healthcare payers.</w:t>
      </w:r>
    </w:p>
    <w:p>
      <w:pPr>
        <w:pStyle w:val="ListBullet"/>
      </w:pPr>
      <w:r>
        <w:rPr>
          <w:b/>
        </w:rPr>
        <w:t>The Behavioral Premise</w:t>
      </w:r>
      <w:r>
        <w:t>: In real life, prominent scientific experts and academic physicians rarely deviate from their long-established, public beliefs and past statements. They operate within highly consistent, observable intellectual frameworks.</w:t>
      </w:r>
    </w:p>
    <w:p>
      <w:pPr>
        <w:pStyle w:val="ListBullet"/>
      </w:pPr>
      <w:r>
        <w:rPr>
          <w:b/>
        </w:rPr>
        <w:t>The Value Proposition</w:t>
      </w:r>
      <w:r>
        <w:t>:</w:t>
      </w:r>
    </w:p>
    <w:p>
      <w:pPr>
        <w:pStyle w:val="ListBullet2"/>
      </w:pPr>
      <w:r>
        <w:rPr>
          <w:i/>
        </w:rPr>
        <w:t>Fingertip Accessibility</w:t>
      </w:r>
      <w:r>
        <w:t>: The primary value is not the direct cost savings (although significant: Delve AI shows synthetic respondents cost $0.99-$2.00 vs. $400-$600 for human interviews).</w:t>
      </w:r>
    </w:p>
    <w:p>
      <w:pPr>
        <w:pStyle w:val="ListBullet2"/>
      </w:pPr>
      <w:r>
        <w:rPr>
          <w:i/>
        </w:rPr>
        <w:t>Velocity of Insight</w:t>
      </w:r>
      <w:r>
        <w:t>: Having a representative, synthetic panel of global experts immediately accessible to stress-test commercial positioning, pre-test scientific messaging, and critique clinical protocols in minutes rather than weeks.</w:t>
      </w:r>
    </w:p>
    <w:p>
      <w:pPr>
        <w:pStyle w:val="ListBullet"/>
      </w:pPr>
      <w:r>
        <w:rPr>
          <w:b/>
        </w:rPr>
        <w:t>Risks &amp; Technical Safeguards</w:t>
      </w:r>
      <w:r>
        <w:t>:</w:t>
      </w:r>
    </w:p>
    <w:p>
      <w:pPr>
        <w:pStyle w:val="ListBullet2"/>
      </w:pPr>
      <w:r>
        <w:rPr>
          <w:i/>
        </w:rPr>
        <w:t>The "Missing 23%" &amp; Novelty Suppression</w:t>
      </w:r>
      <w:r>
        <w:t>: LLMs tend toward consensus, suppressing highly novel, eccentric, or contrarian insights that true KOLs may possess.</w:t>
      </w:r>
    </w:p>
    <w:p>
      <w:pPr>
        <w:pStyle w:val="ListBullet2"/>
      </w:pPr>
      <w:r>
        <w:rPr>
          <w:i/>
        </w:rPr>
        <w:t>The "Demiurge" Problem</w:t>
      </w:r>
      <w:r>
        <w:t>: A researcher constructing both the synthetic respondent and the moderator runs the risk of creating a sophisticated echo chamber of their own assumptions.</w:t>
      </w:r>
    </w:p>
    <w:p>
      <w:pPr>
        <w:pStyle w:val="ListBullet2"/>
      </w:pPr>
      <w:r>
        <w:rPr>
          <w:i/>
        </w:rPr>
        <w:t>Safeguard — Adversarial Separation</w:t>
      </w:r>
      <w:r>
        <w:t>: The operational architecture must enforce strict separation: the team designing and prompting the synthetic KOL panel must be entirely independent of the strategic team evaluating the output and making final R&amp;D decisions.</w:t>
      </w:r>
    </w:p>
    <w:p>
      <w:pPr>
        <w:pStyle w:val="Heading2"/>
      </w:pPr>
      <w:r>
        <w:t>5. Company Brain: Compounding Organizational Intelligence</w:t>
      </w:r>
    </w:p>
    <w:p>
      <w:pPr>
        <w:pStyle w:val="ListBullet"/>
      </w:pPr>
      <w:r>
        <w:rPr>
          <w:b/>
        </w:rPr>
        <w:t>The Vision</w:t>
      </w:r>
      <w:r>
        <w:t>: Y Combinator's Summer 2026 Request for Startups (RFS) explicitly highlights the "Company Brain" as the missing layer between raw corporate data and reliable AI automation. It is the living, structured map of how a company works, turning fragmented files into executable skills for agents.</w:t>
      </w:r>
    </w:p>
    <w:p>
      <w:pPr>
        <w:pStyle w:val="ListBullet"/>
      </w:pPr>
      <w:r>
        <w:rPr>
          <w:b/>
        </w:rPr>
        <w:t>The Technical Solution — Andrej Karpathy's "LLM Wiki" Paradigm</w:t>
      </w:r>
      <w:r>
        <w:t>:</w:t>
      </w:r>
    </w:p>
    <w:p>
      <w:pPr>
        <w:pStyle w:val="ListBullet2"/>
      </w:pPr>
      <w:r>
        <w:rPr>
          <w:i/>
        </w:rPr>
        <w:t>Compounding Artifacts vs. Ephemeral RAG</w:t>
      </w:r>
      <w:r>
        <w:t>: Standard RAG parses documents from scratch on every query, leading to repetitive compute and unstructured outputs. The LLM Wiki behaves like a codebase: when a new source is introduced, the agent compiles and integrates it once, updating concept pages and resolving contradictions.</w:t>
      </w:r>
    </w:p>
    <w:p>
      <w:pPr>
        <w:pStyle w:val="ListBullet2"/>
      </w:pPr>
      <w:r>
        <w:rPr>
          <w:i/>
        </w:rPr>
        <w:t>Three-Layer Architecture</w:t>
      </w:r>
      <w:r>
        <w:t>:</w:t>
      </w:r>
    </w:p>
    <w:p>
      <w:pPr>
        <w:jc w:val="left"/>
      </w:pPr>
      <w:r>
        <w:t xml:space="preserve">1. </w:t>
      </w:r>
      <w:r>
        <w:rPr>
          <w:b/>
        </w:rPr>
        <w:t>Raw Sources (Immutable)</w:t>
      </w:r>
      <w:r>
        <w:t>: Scientific papers, clinical protocols, trial registries, meeting transcripts.</w:t>
      </w:r>
    </w:p>
    <w:p>
      <w:pPr>
        <w:jc w:val="left"/>
      </w:pPr>
      <w:r>
        <w:t xml:space="preserve">2. </w:t>
      </w:r>
      <w:r>
        <w:rPr>
          <w:b/>
        </w:rPr>
        <w:t>The Wiki (Persistent Markdown)</w:t>
      </w:r>
      <w:r>
        <w:t>: A structured directory of concept maps, molecule profiles, and operational guides written and maintained by the agent.</w:t>
      </w:r>
    </w:p>
    <w:p>
      <w:pPr>
        <w:jc w:val="left"/>
      </w:pPr>
      <w:r>
        <w:t xml:space="preserve">3. </w:t>
      </w:r>
      <w:r>
        <w:rPr>
          <w:b/>
        </w:rPr>
        <w:t>The Schema (Rules &amp; Metacognition)</w:t>
      </w:r>
      <w:r>
        <w:t>: A central configuration file (e.g., `AGENTS.md`) defining the boundaries, directory structures, and ingestion standards.</w:t>
      </w:r>
    </w:p>
    <w:p>
      <w:pPr>
        <w:pStyle w:val="ListBullet2"/>
      </w:pPr>
      <w:r>
        <w:rPr>
          <w:i/>
        </w:rPr>
        <w:t>Core Ingestion &amp; Maintenance Workflows</w:t>
      </w:r>
      <w:r>
        <w:t>:</w:t>
      </w:r>
    </w:p>
    <w:p>
      <w:pPr>
        <w:pStyle w:val="ListBullet3"/>
      </w:pPr>
      <w:r>
        <w:rPr>
          <w:b/>
        </w:rPr>
        <w:t>Ingest</w:t>
      </w:r>
      <w:r>
        <w:t>: Ingesting a raw source automatically updates the central catalog index and propagates changes across 10-15 related concept files.</w:t>
      </w:r>
    </w:p>
    <w:p>
      <w:pPr>
        <w:pStyle w:val="ListBullet3"/>
      </w:pPr>
      <w:r>
        <w:rPr>
          <w:b/>
        </w:rPr>
        <w:t>Query</w:t>
      </w:r>
      <w:r>
        <w:t>: The agent reads a structured index catalog to locate highly relevant pages and synthesize answers with exact citations.</w:t>
      </w:r>
    </w:p>
    <w:p>
      <w:pPr>
        <w:pStyle w:val="ListBullet3"/>
      </w:pPr>
      <w:r>
        <w:rPr>
          <w:b/>
        </w:rPr>
        <w:t>Lint</w:t>
      </w:r>
      <w:r>
        <w:t>: The agent executes periodic background audits to flag contradictions between old and new data, identify knowledge gaps, and repair broken cross-references.</w:t>
      </w:r>
    </w:p>
    <w:p>
      <w:pPr>
        <w:pStyle w:val="ListBullet2"/>
      </w:pPr>
      <w:r>
        <w:rPr>
          <w:i/>
        </w:rPr>
        <w:t>Structured Files</w:t>
      </w:r>
      <w:r>
        <w:t>:</w:t>
      </w:r>
    </w:p>
    <w:p>
      <w:pPr>
        <w:pStyle w:val="ListBullet3"/>
      </w:pPr>
      <w:r>
        <w:t>`index.md`: Categorized catalog of all wiki pages containing links and one-line summaries.</w:t>
      </w:r>
    </w:p>
    <w:p>
      <w:pPr>
        <w:pStyle w:val="ListBullet3"/>
      </w:pPr>
      <w:r>
        <w:t>`log.md`: Append-only, chronological journal of all operations.</w:t>
      </w:r>
    </w:p>
    <w:p>
      <w:pPr>
        <w:pStyle w:val="ListBullet"/>
      </w:pPr>
      <w:r>
        <w:rPr>
          <w:b/>
        </w:rPr>
        <w:t>The Operational Outcome</w:t>
      </w:r>
      <w:r>
        <w:t>:</w:t>
      </w:r>
    </w:p>
    <w:p>
      <w:pPr>
        <w:pStyle w:val="ListBullet2"/>
      </w:pPr>
      <w:r>
        <w:t>A smaller, hyper-efficient clinical team operates with total, unified context.</w:t>
      </w:r>
    </w:p>
    <w:p>
      <w:pPr>
        <w:pStyle w:val="ListBullet2"/>
      </w:pPr>
      <w:r>
        <w:rPr>
          <w:b/>
        </w:rPr>
        <w:t>Language-Agnostic Operations</w:t>
      </w:r>
      <w:r>
        <w:t>: The LLM Wiki is entirely language-agnostic, enabling global clinical teams to operate seamlessly across borders with perfect translation and synchronization.</w:t>
      </w:r>
    </w:p>
    <w:p>
      <w:pPr>
        <w:pStyle w:val="ListBullet2"/>
      </w:pPr>
      <w:r>
        <w:rPr>
          <w:b/>
        </w:rPr>
        <w:t>Evolution Beyond Static Storage</w:t>
      </w:r>
      <w:r>
        <w:t>: The Company Brain represents a fundamental evolution beyond passive, static enterprise storage systems (such as Confluence or SharePoint).</w:t>
      </w:r>
    </w:p>
    <w:p>
      <w:pPr>
        <w:pStyle w:val="ListBullet2"/>
      </w:pPr>
      <w:r>
        <w:rPr>
          <w:b/>
        </w:rPr>
        <w:t>AI Chief of Staff Mandate</w:t>
      </w:r>
      <w:r>
        <w:t xml:space="preserve">: By ingesting active meeting memos, trial dashboards, strategic board discussions, and clinical stage-gate decisions, it functions as a centralized, dynamic </w:t>
      </w:r>
      <w:r>
        <w:rPr>
          <w:b/>
        </w:rPr>
        <w:t>AI Chief of Staff</w:t>
      </w:r>
      <w:r>
        <w:t xml:space="preserve"> that sits at the center of the organization.</w:t>
      </w:r>
    </w:p>
    <w:p>
      <w:pPr>
        <w:pStyle w:val="ListBullet2"/>
      </w:pPr>
      <w:r>
        <w:t>Anyone on the team can query the Company Brain about any drug candidate, protocol, or competitive update and receive a highly synthesized response, directly cited to specific meeting memos, discussions, and trial registries.</w:t>
      </w:r>
    </w:p>
    <w:p>
      <w:pPr>
        <w:pStyle w:val="Heading2"/>
      </w:pPr>
      <w:r>
        <w:t>6. Innovation Arbitrage: Global Asset Sourcing and Licensing Risks</w:t>
      </w:r>
    </w:p>
    <w:p>
      <w:pPr>
        <w:pStyle w:val="ListBullet"/>
      </w:pPr>
      <w:r>
        <w:rPr>
          <w:b/>
        </w:rPr>
        <w:t>Applying 10x Productivity to Sourcing</w:t>
      </w:r>
      <w:r>
        <w:t>: Sourcing global assets requires massive diligence and review bandwidth. An agile, 10x productive AI-native team utilizing a compounding Company Brain and screening agents can aggressively evaluate hundreds of outbound Chinese clinical assets, conduct rigorous data-integrity due diligence at scale, and execute licensing deals with far greater speed and precision than legacy biopharma conglomerates.</w:t>
      </w:r>
    </w:p>
    <w:p>
      <w:pPr>
        <w:pStyle w:val="ListBullet"/>
      </w:pPr>
      <w:r>
        <w:rPr>
          <w:b/>
        </w:rPr>
        <w:t>The China Outbound Boom</w:t>
      </w:r>
      <w:r>
        <w:t>: In 2025, China outbound licensing agreements reached a record $135.7 billion, representing one-third of all global licensing spend and making China the primary source of licensable drug assets.</w:t>
      </w:r>
    </w:p>
    <w:p>
      <w:pPr>
        <w:pStyle w:val="ListBullet"/>
      </w:pPr>
      <w:r>
        <w:rPr>
          <w:b/>
        </w:rPr>
        <w:t>The Economic Arbitrage</w:t>
      </w:r>
      <w:r>
        <w:t>: Discovery costs in China are 30% to 40% lower, and enrollment is 2 to 3 times faster due to patient population density, allowing access to high-quality, de-risked clinical-stage assets at attractive valuations.</w:t>
      </w:r>
    </w:p>
    <w:p>
      <w:pPr>
        <w:pStyle w:val="ListBullet"/>
      </w:pPr>
      <w:r>
        <w:rPr>
          <w:b/>
        </w:rPr>
        <w:t>Key Outbound Successes</w:t>
      </w:r>
      <w:r>
        <w:t>: Celebrated assets like CARVYKTI (J&amp;J CAR-T), Tislelizumab (Novartis PD-1), Ivonescimab (Summit PD-1/VEGF), and GSK/Hengrui deal ($12.5B) demonstrate the viability and premium quality of Chinese-origin therapeutics.</w:t>
      </w:r>
    </w:p>
    <w:p>
      <w:pPr>
        <w:pStyle w:val="ListBullet"/>
      </w:pPr>
      <w:r>
        <w:rPr>
          <w:b/>
        </w:rPr>
        <w:t>The Data Integrity Challenge</w:t>
      </w:r>
      <w:r>
        <w:t>: Navigating a historical 80% trial application withdrawal rate from the 2015 CFDA self-audit. Modern regulatory upgrades and ICH alignment mitigate this, but rigorous, agent-driven continuous compliance audits are vital to detect data falsification or GCP breaches.</w:t>
      </w:r>
    </w:p>
    <w:p>
      <w:pPr>
        <w:pStyle w:val="ListBullet"/>
      </w:pPr>
      <w:r>
        <w:rPr>
          <w:b/>
        </w:rPr>
        <w:t>The Five Contractual Traps (Morgan Lewis 2026)</w:t>
      </w:r>
      <w:r>
        <w:t>: Avoiding toothless anti-shelving clauses, change-of-control vulnerabilities, disappearing milestones, ambiguous global data rights, and cross-border transfer compliance traps.</w:t>
      </w:r>
    </w:p>
    <w:p>
      <w:pPr>
        <w:pStyle w:val="ListBullet"/>
      </w:pPr>
      <w:r>
        <w:rPr>
          <w:b/>
        </w:rPr>
        <w:t>The NewCo Model</w:t>
      </w:r>
      <w:r>
        <w:t>: Partnering with VC-backed NewCos (e.g., Hengrui's deal with Braveheart Bio) to maximize deal velocity, flexibility, and capital efficiency.</w:t>
      </w:r>
    </w:p>
    <w:p>
      <w:pPr>
        <w:pStyle w:val="Heading2"/>
      </w:pPr>
      <w:r>
        <w:t>7. Final Thought</w:t>
      </w:r>
    </w:p>
    <w:p>
      <w:pPr>
        <w:pStyle w:val="ListBullet"/>
      </w:pPr>
      <w:r>
        <w:rPr>
          <w:b/>
        </w:rPr>
        <w:t>The Ultimate Takeaway</w:t>
      </w:r>
      <w:r>
        <w:t>: AI-native biotechnology goes beyond computational target prediction. While statistical ML discovers the molecules, agentic systems run the actual execution engine of drug development.</w:t>
      </w:r>
    </w:p>
    <w:p>
      <w:pPr>
        <w:pStyle w:val="ListBullet"/>
      </w:pPr>
      <w:r>
        <w:rPr>
          <w:b/>
        </w:rPr>
        <w:t>The Strategic Advantage</w:t>
      </w:r>
      <w:r>
        <w:t>: Rather than chasing unrealistic timeline compressions, the true competitive advantage of the AI-native model lies in execution quality, strategic velocity, and risk mitigation.</w:t>
      </w:r>
    </w:p>
    <w:p>
      <w:pPr>
        <w:pStyle w:val="ListBullet"/>
      </w:pPr>
      <w:r>
        <w:rPr>
          <w:b/>
        </w:rPr>
        <w:t>Operational Leverage</w:t>
      </w:r>
      <w:r>
        <w:t>: By deploying networks of autonomous, goal-directed agents and structuring corporate knowledge as a compounding, persistent codebase, a lean, AI-native team can make high-quality clinical decisions faster, execute cross-border deals with 10x greater agility, and systematically avoid the operational and strategic missteps that account for 30% to 50% of drug candidate attrition in legacy biopharma.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