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AI-Native Biotech: Building the Next Generational Global AI Company</w:t>
      </w:r>
    </w:p>
    <w:p>
      <w:pPr>
        <w:jc w:val="left"/>
      </w:pPr>
      <w:r>
        <w:rPr>
          <w:b/>
        </w:rPr>
        <w:t>Author:</w:t>
      </w:r>
      <w:r>
        <w:t xml:space="preserve"> Tiger Huang</w:t>
      </w:r>
    </w:p>
    <w:p>
      <w:pPr>
        <w:jc w:val="left"/>
      </w:pPr>
      <w:r>
        <w:rPr>
          <w:b/>
        </w:rPr>
        <w:t>Date:</w:t>
      </w:r>
      <w:r>
        <w:t xml:space="preserve"> June 2026</w:t>
      </w:r>
    </w:p>
    <w:p>
      <w:pPr>
        <w:jc w:val="left"/>
      </w:pPr>
      <w:r>
        <w:rPr>
          <w:b/>
        </w:rPr>
        <w:t>Classification:</w:t>
      </w:r>
      <w:r>
        <w:t xml:space="preserve"> AI-Native Biotech Strategy</w:t>
      </w:r>
    </w:p>
    <w:p>
      <w:pPr>
        <w:jc w:val="left"/>
      </w:pPr>
      <w:r>
        <w:rPr>
          <w:b/>
        </w:rPr>
        <w:t>Audience:</w:t>
      </w:r>
      <w:r>
        <w:t xml:space="preserve"> Biotechnology Executives, AI Executives, Investors</w:t>
      </w:r>
    </w:p>
    <w:p>
      <w:pPr>
        <w:pStyle w:val="Heading2"/>
      </w:pPr>
      <w:r>
        <w:t>Executive Summary</w:t>
      </w:r>
    </w:p>
    <w:p>
      <w:pPr>
        <w:jc w:val="left"/>
      </w:pPr>
      <w:r>
        <w:t xml:space="preserve">This memo defines the strategic framework of the true </w:t>
      </w:r>
      <w:r>
        <w:rPr>
          <w:b/>
        </w:rPr>
        <w:t>AI-native biotech</w:t>
      </w:r>
      <w:r>
        <w:t>—a lean, compliance-first organization that goes beyond early-stage target math to build a highly structured, compliance-first operational framework from the ground up. Unlike an AI-native tech company that can move fast and break things, an AI-native biotech operates in a highly regulated environment where safety, data integrity, and compliance are paramount. In this model, every operator and executive is augmented by validated, compliance-first AI systems that assist with parsing patient records, drafting regulatory submissions, and monitoring clinical data under strict human-in-the-loop oversight. By replacing legacy administrative handoffs with secure, auditor-ready workflows, the AI-native biotech drives broad organizational adoption of daily AI tools, mitigates protocol compliance risks, and enables leadership to make high-quality strategic decisions faster. Crucially, this operational rigor allows the organization to identify, due diligence, and execute high-value licensing deals with unprecedented agility and safety, systematically avoiding the costly operational and strategic missteps that account for 30% to 50% of drug candidate attrition in traditional, legacy biopharma.</w:t>
      </w:r>
    </w:p>
    <w:p>
      <w:pPr>
        <w:jc w:val="left"/>
      </w:pPr>
      <w:r>
        <w:t>Importantly, this compounding operational leverage has immediate, high-leverage applications in global asset sourcing and cross-border licensing. In the wake of the massive Chinese outbound licensing boom (representing a record $135.7 billion in 2025), a lean, highly leveraged AI-native operational team can utilize a compounding Company Brain and validated screening agents to continuously crawl clinical registries, conduct rigorous data-integrity diligence, and license high-quality, de-risked clinical assets with 10x greater agility than bloated traditional conglomerates.</w:t>
      </w:r>
    </w:p>
    <w:p>
      <w:pPr>
        <w:jc w:val="left"/>
      </w:pPr>
      <w:r>
        <w:t>Ultimately, this paradigm shift represents a once-in-a-lifetime opportunity to build a generational $100 billion to $1 trillion biopharma company. By combining the deep experience of clinical leaders with a universally adopted suite of compliance-first AI systems, the AI-native biotech is positioned to run circles around slow-moving, administrative-heavy legacy organizations while maintaining a gold standard of regulatory and scientific integrity.</w:t>
      </w:r>
    </w:p>
    <w:p>
      <w:pPr>
        <w:pStyle w:val="Heading2"/>
      </w:pPr>
      <w:r>
        <w:t>1. Defining the AI-Native Biotech</w:t>
      </w:r>
    </w:p>
    <w:p>
      <w:pPr>
        <w:jc w:val="left"/>
      </w:pPr>
      <w:r>
        <w:t xml:space="preserve">Unlike a pure </w:t>
      </w:r>
      <w:r>
        <w:rPr>
          <w:b/>
        </w:rPr>
        <w:t>AI-native tech company</w:t>
      </w:r>
      <w:r>
        <w:t xml:space="preserve">—which can deploy flexible, developer-centric agent swarms and operate under a "move fast and break things" engineering philosophy—the </w:t>
      </w:r>
      <w:r>
        <w:rPr>
          <w:b/>
        </w:rPr>
        <w:t>AI-native biotech</w:t>
      </w:r>
      <w:r>
        <w:t xml:space="preserve"> is defined by a compliance-first, safety-centric paradigm of universal AI adoption. Because biotechnology is a highly regulated industry governed by older, deeply experienced clinical leaders, operational systems cannot rely on unpredictable autonomous loops. Instead, the core definition of an AI-native biotech is an organization that drives the daily, universal adoption of secure AI tools across all departments, backed by highly intentional, validated autonomous agents engineered specifically to withstand rigorous regulatory scrutiny (such as FDA and EMA audits).</w:t>
      </w:r>
    </w:p>
    <w:p>
      <w:pPr>
        <w:jc w:val="left"/>
      </w:pPr>
      <w:r>
        <w:t>Rather than adapting legacy processes to accommodate modern software, the operational biology of the company is designed AI-first: AI systems assist in parsing unstructured anonymized patient records, structuring clinical databases, and drafting GxP-compliant regulatory filings under strict, multi-step human-in-the-loop authorization. This approach yields a highly agile organization where clinical operators are significantly leveraged, compressing development timelines and eliminating manual administrative "white space" during high-stakes Phase 2 and Phase 3 trials. While traditional biopharma conglomerates maintain massive capital scale, the AI-native biotech counteracts this with superior operational agility, data readiness, and execution safety.</w:t>
      </w:r>
    </w:p>
    <w:p>
      <w:pPr>
        <w:pStyle w:val="Heading3"/>
      </w:pPr>
      <w:r>
        <w:t>Paradigm: The Asset-Agnostic Portfolio Model</w:t>
      </w:r>
    </w:p>
    <w:p>
      <w:pPr>
        <w:jc w:val="left"/>
      </w:pPr>
      <w:r>
        <w:t xml:space="preserve">The </w:t>
      </w:r>
      <w:r>
        <w:rPr>
          <w:b/>
        </w:rPr>
        <w:t>Asset-Agnostic Portfolio Model</w:t>
      </w:r>
      <w:r>
        <w:t xml:space="preserve"> is an operational model that secures sufficient funding to operate a diversified portfolio of 10 to 20 assets managed by a hyper-efficient, agent-augmented team, systematically diversifying scientific risks and avoiding single-asset talent sequestration.</w:t>
      </w:r>
    </w:p>
    <w:p>
      <w:pPr>
        <w:jc w:val="left"/>
      </w:pPr>
      <w:r>
        <w:t>This model represents a major capital allocation paradigm shift. The existing biotech venture capital funding model is fundamentally mismatched with this operational reality. The status quo VC funding structure is highly fragmented and focused on specific assets, creating numerous sub-scale companies that sequester and waste elite talent—such as a world-class Chief Medical Officer spending 100% of their time on a single clinical asset that is already in trial. Under this legacy structure, the best possible outcome is a $2 billion acquisition by a large pharmaceutical conglomerate, which when risk-adjusted and split among the team and investors represents an insufficient payout for any party involved.</w:t>
      </w:r>
    </w:p>
    <w:p>
      <w:pPr>
        <w:jc w:val="left"/>
      </w:pPr>
      <w:r>
        <w:t>Rather than chasing single-asset exits, the AI-native biotech targets the creation of a $100 billion generational company by managerially evolving to become a dynamic portfolio manager—constantly in-licensing clinical candidates, executing rapid-turnaround trials via agentic automation, and out-licensing successful therapeutics. Through this model, the AI-native biotech disintermediates legacy biotech VCs by leveraging a superior talent pool, proprietary technology, and a more robust, diversified funding structure.</w:t>
      </w:r>
    </w:p>
    <w:p>
      <w:pPr>
        <w:pStyle w:val="Heading3"/>
      </w:pPr>
      <w:r>
        <w:t>Example: Formation Bio</w:t>
      </w:r>
    </w:p>
    <w:p>
      <w:pPr>
        <w:jc w:val="left"/>
      </w:pPr>
      <w:r>
        <w:t xml:space="preserve">The primary real-world validation of this asset-agnostic, portfolio-driven approach is </w:t>
      </w:r>
      <w:r>
        <w:rPr>
          <w:b/>
        </w:rPr>
        <w:t>Formation Bio</w:t>
      </w:r>
      <w:r>
        <w:t xml:space="preserve">. Originally founded in 2016 as </w:t>
      </w:r>
      <w:r>
        <w:rPr>
          <w:b/>
        </w:rPr>
        <w:t>TrialSpark</w:t>
      </w:r>
      <w:r>
        <w:t xml:space="preserve"> to modernize clinical trial operations, the company rebranded in December 2023 to codify its transition from a tech-enabled services vendor into a fully integrated, AI-native pharmaceutical developer. Rather than competing in early-stage drug discovery—which is already well-served by upstream statistical machine learning—Formation Bio focuses its proprietary AI platform downstream on clinical trial execution, targeting the industry's primary bottleneck. By leveraging its operational speed as a structural advantage, the company has deployed a textbook version of the asset-agnostic model: in-licensing high-potential, clinical-stage candidates and developing them under a centralized, tech-driven hub-and-spoke structure.</w:t>
      </w:r>
    </w:p>
    <w:p>
      <w:pPr>
        <w:jc w:val="left"/>
      </w:pPr>
      <w:r>
        <w:t xml:space="preserve">To execute this portfolio strategy without sequestering talent, Formation Bio establishes dedicated, asset-centric subsidiaries (NewCos) supported by its core AI-native operating platform. These spokes include </w:t>
      </w:r>
      <w:r>
        <w:rPr>
          <w:b/>
        </w:rPr>
        <w:t>Riverview Bio</w:t>
      </w:r>
      <w:r>
        <w:t xml:space="preserve">, which in-licensed a first-in-class anti-CD226 monoclonal antibody for autoimmune indications from IMIDomics in July 2025, and </w:t>
      </w:r>
      <w:r>
        <w:rPr>
          <w:b/>
        </w:rPr>
        <w:t>Bleecker Bio</w:t>
      </w:r>
      <w:r>
        <w:t>, which in-licensed a CNS-penetrant, allosteric TYK2 inhibitor (</w:t>
      </w:r>
      <w:r>
        <w:rPr>
          <w:b/>
        </w:rPr>
        <w:t>LNK01006</w:t>
      </w:r>
      <w:r>
        <w:t xml:space="preserve"> / </w:t>
      </w:r>
      <w:r>
        <w:rPr>
          <w:b/>
        </w:rPr>
        <w:t>BLKR201</w:t>
      </w:r>
      <w:r>
        <w:t xml:space="preserve">) from Lynk Pharmaceuticals in December 2025 and dosed its first Phase 1 patient in June 2026. Rather than staffing each spoke with a full, redundant executive team, the centralized AI-native engine manages the trials. This operational leverage is funded by a $372 million </w:t>
      </w:r>
      <w:r>
        <w:rPr>
          <w:b/>
        </w:rPr>
        <w:t>Series D financing</w:t>
      </w:r>
      <w:r>
        <w:t xml:space="preserve"> secured in June 2024—led by Andreessen Horowitz (a16z) with significant participation from Sanofi—and is supercharged by a three-way partnership with OpenAI and Sanofi to build custom software, including the patient-recruitment engine </w:t>
      </w:r>
      <w:r>
        <w:rPr>
          <w:b/>
        </w:rPr>
        <w:t>Muse</w:t>
      </w:r>
      <w:r>
        <w:t xml:space="preserve"> launched in November 2024. By applying validated AI systems across a diversified portfolio, Formation Bio demonstrates how a lean, highly leveraged team can run multiple clinical-stage programs simultaneously, compressing timelines and driving high-fidelity execution at a fraction of legacy costs.</w:t>
      </w:r>
    </w:p>
    <w:p>
      <w:pPr>
        <w:pStyle w:val="Heading2"/>
      </w:pPr>
      <w:r>
        <w:t>2. The Convergence of Agentic Productivity and the China Asset Boom</w:t>
      </w:r>
    </w:p>
    <w:p>
      <w:pPr>
        <w:jc w:val="left"/>
      </w:pPr>
      <w:r>
        <w:t>A 10x operational productivity leap is economically meaningless in a vacuum. If a lean organization cannot secure a steady volume of clinical candidates to populate its pipeline, the speed and efficiency of its agentic teammates are wasted. Agentic productivity requires an abundance of assets to manage—otherwise, the capacity is squandered on sub-scale operations.</w:t>
      </w:r>
    </w:p>
    <w:p>
      <w:pPr>
        <w:jc w:val="left"/>
      </w:pPr>
      <w:r>
        <w:t xml:space="preserve">The massive expansion of Chinese biopharma provides the necessary high-quality raw material to feed this agentic engine. In 2025, </w:t>
      </w:r>
      <w:r>
        <w:rPr>
          <w:b/>
        </w:rPr>
        <w:t>China outbound licensing</w:t>
      </w:r>
      <w:r>
        <w:t xml:space="preserve"> agreements reached a record $135.7 billion, representing one-third of all global licensing spend and making China the primary source of licensable drug assets. This growth is driven by a powerful economic and clinical arbitrage: discovery costs in China are 30% to 40% lower, and clinical enrollment is 2 to 3 times faster due to patient density. This allows access to high-quality, de-risked clinical-stage assets at highly attractive valuations. Proven clinical successes like </w:t>
      </w:r>
      <w:r>
        <w:rPr>
          <w:b/>
        </w:rPr>
        <w:t>CARVYKTI</w:t>
      </w:r>
      <w:r>
        <w:t xml:space="preserve"> (J&amp;J CAR-T), </w:t>
      </w:r>
      <w:r>
        <w:rPr>
          <w:b/>
        </w:rPr>
        <w:t>Tislelizumab</w:t>
      </w:r>
      <w:r>
        <w:t xml:space="preserve"> (Novartis PD-1), and </w:t>
      </w:r>
      <w:r>
        <w:rPr>
          <w:b/>
        </w:rPr>
        <w:t>Ivonescimab</w:t>
      </w:r>
      <w:r>
        <w:t xml:space="preserve"> (Summit PD-1/VEGF)—along with massive deals like the GSK/Hengrui transaction ($12.5 billion)—demonstrate that Chinese-origin therapeutics represent a world-class clinical standard.</w:t>
      </w:r>
    </w:p>
    <w:p>
      <w:pPr>
        <w:pStyle w:val="Heading3"/>
      </w:pPr>
      <w:r>
        <w:t>Example: Diligence Velocity</w:t>
      </w:r>
    </w:p>
    <w:p>
      <w:pPr>
        <w:jc w:val="left"/>
      </w:pPr>
      <w:r>
        <w:t>Traditional biopharma conglomerates cannot keep pace with this asset volume due to the immense manual diligence required to evaluate cross-border candidates. An AI-native team, however, leverages agentic workflows to screen hundreds of candidates simultaneously. To illustrate, I held a two-hour session with a biotech executive demonstrating that an agentic workflow (using Antigravity with Gemini) could perform a comprehensive pathway scan. It evaluated seven distinct databases in Chinese and English, producing a detailed profile of 31 assets with citations and hallucination checks—a task that typically consumes a week of labor for three elite associates.</w:t>
      </w:r>
    </w:p>
    <w:p>
      <w:pPr>
        <w:pStyle w:val="Heading3"/>
      </w:pPr>
      <w:r>
        <w:t>Example: Data Integrity</w:t>
      </w:r>
    </w:p>
    <w:p>
      <w:pPr>
        <w:jc w:val="left"/>
      </w:pPr>
      <w:r>
        <w:t xml:space="preserve">Accessing this arbitrage requires navigating historical quality challenges, such as the 80% trial application withdrawal rate stemming from the 2015 CFDA self-audit. While regulatory standards and ICH alignment have modernized, rigorous, agent-driven audits of unstructured patient records are essential to detect data anomalies and </w:t>
      </w:r>
      <w:r>
        <w:rPr>
          <w:b/>
        </w:rPr>
        <w:t>Good Clinical Practice (GCP)</w:t>
      </w:r>
      <w:r>
        <w:t xml:space="preserve"> breaches prior to licensing.</w:t>
      </w:r>
    </w:p>
    <w:p>
      <w:pPr>
        <w:pStyle w:val="Heading2"/>
      </w:pPr>
      <w:r>
        <w:t>3. What would an AI-native biotech really look like</w:t>
      </w:r>
    </w:p>
    <w:p>
      <w:pPr>
        <w:jc w:val="left"/>
      </w:pPr>
      <w:r>
        <w:t>The operational framework of an AI-native biotech is structured across three distinct layers, scaling from daily universal adoption by senior leadership to highly validated, compliance-first autonomous agents.</w:t>
      </w:r>
    </w:p>
    <w:p>
      <w:pPr>
        <w:pStyle w:val="Heading3"/>
      </w:pPr>
      <w:r>
        <w:t>Layer 1: Universal Daily AI Tooling for Senior Leadership</w:t>
      </w:r>
    </w:p>
    <w:p>
      <w:pPr>
        <w:jc w:val="left"/>
      </w:pPr>
      <w:r>
        <w:t xml:space="preserve">True AI integration must begin with senior leadership. Most biotechnology executives and clinical directors finish their academic training in their early thirties and remain established in legacy, PowerPoint and email-driven operational habits. This behavioral inertia is compounded by the fact that modern AI tooling remains highly tuned to software developers. Business executives do not have access to the most powerful orchestrators and environment contexts; instead, they are forced to interact with simplistic text boxes. For example, this memo is being drafted using </w:t>
      </w:r>
      <w:r>
        <w:rPr>
          <w:b/>
        </w:rPr>
        <w:t>Antigravity</w:t>
      </w:r>
      <w:r>
        <w:t>—a developer-centric, workspace-aware AI agent that executes complex research and file modifications—which is structurally far more capable than standard consumer AI assistants integrated into Google Docs, even when running on the exact same underlying model.</w:t>
      </w:r>
    </w:p>
    <w:p>
      <w:pPr>
        <w:jc w:val="left"/>
      </w:pPr>
      <w:r>
        <w:t>The AI-native biotech bridges this gap by shifting the executive paradigm from administrative delegation to direct agentic interaction. In this model, an AI-native executive does not task their team with retrieving basic regulatory timelines or literature updates; they query the AI first. More importantly, document review is transformed from an untracked, manual feedback loop into a deterministic engineering process. If an executive wants to enforce a specific scientific modification or formatting rule across a protocol draft, they do not send a manual email that could be ignored, or worse, give verbal feedback that leaves no audit trail. Instead, they instruct the AI to update the global system skill auditing the document. From that point forward, every subsequent draft generated until final release is programmatically checked against this rule, guaranteeing compliance and eliminating human oversight errors.</w:t>
      </w:r>
    </w:p>
    <w:p>
      <w:pPr>
        <w:pStyle w:val="Heading3"/>
      </w:pPr>
      <w:r>
        <w:t>Layer 2: The Custom Workflow AI Skill Portfolio</w:t>
      </w:r>
    </w:p>
    <w:p>
      <w:pPr>
        <w:jc w:val="left"/>
      </w:pPr>
      <w:r>
        <w:t xml:space="preserve">To maintain GxP compliance and scientific rigor, the organization relies on a portfolio of pre-configured, validated AI skills. The development and continuous maintenance of these skills represent the company’s highest leverage source of value. Rather than using generic prompts, a small, elite team of hybrid clinical-technical operators writes highly robust </w:t>
      </w:r>
      <w:r>
        <w:rPr>
          <w:b/>
        </w:rPr>
        <w:t>custom agent skills</w:t>
      </w:r>
      <w:r>
        <w:t xml:space="preserve"> backed by rigorous </w:t>
      </w:r>
      <w:r>
        <w:rPr>
          <w:b/>
        </w:rPr>
        <w:t>evaluation suites (evals)</w:t>
      </w:r>
      <w:r>
        <w:t>. These custom skills sit as the critical translation layer between the clinical layman and raw, complex technical AI capabilities. When combined with simple, deterministic Python helper scripts (such as custom database query utilities or PDF text extractors), these skills allow AI agents to navigate files and execute complex clinical tasks with total completeness and zero hallucination.</w:t>
      </w:r>
    </w:p>
    <w:p>
      <w:pPr>
        <w:jc w:val="left"/>
      </w:pPr>
      <w:r>
        <w:t>To govern day-to-day operations, the organization maintains three primary clinical skills within this portfolio:</w:t>
      </w:r>
    </w:p>
    <w:p>
      <w:pPr>
        <w:pStyle w:val="ListBullet"/>
      </w:pPr>
      <w:r>
        <w:rPr>
          <w:b/>
        </w:rPr>
        <w:t>Business Development Scan</w:t>
      </w:r>
      <w:r>
        <w:t>: This skill pairs an agentic search workflow with local Python parsers to continuously monitor global clinical registries, outbound pipelines, and financial databases. By running automated checks against pre-defined data-integrity benchmarks, a two-person BD team can simultaneously audit hundreds of potential in-licensing assets, automatically flagging candidates that exhibit high data-integrity risks or clinical anomalies.</w:t>
      </w:r>
    </w:p>
    <w:p>
      <w:pPr>
        <w:pStyle w:val="ListBullet"/>
      </w:pPr>
      <w:r>
        <w:rPr>
          <w:b/>
        </w:rPr>
        <w:t>Scientific Evidence Review</w:t>
      </w:r>
      <w:r>
        <w:t>: Rather than relying on selective human reading or search engines, this skill ingests the entire clinical literature corpus for a target pathway (often thousands of PDFs) into a large-context processing engine. Supported by local extraction scripts, the agent synthesizes the scientific landscape, resolves conflicting trial outcomes, and outputs a structured review where every claim is cited verbatim to a primary source document, preventing selection bias and hallucination.</w:t>
      </w:r>
    </w:p>
    <w:p>
      <w:pPr>
        <w:pStyle w:val="ListBullet"/>
      </w:pPr>
      <w:r>
        <w:rPr>
          <w:b/>
        </w:rPr>
        <w:t>Clinical Trial Protocol Review</w:t>
      </w:r>
      <w:r>
        <w:t>: This skill acts as a real-time compliance auditor for clinical trial protocols. It programmatically scans draft protocols against international therapeutic guidelines, historical FDA/EMA review documents, and internal GxP rules. Any design flaws, safety monitoring gaps, or statistical inconsistencies are highlighted automatically, ensuring the protocol is inspection-ready before submission.</w:t>
      </w:r>
    </w:p>
    <w:p>
      <w:pPr>
        <w:pStyle w:val="Heading3"/>
      </w:pPr>
      <w:r>
        <w:t>Layer 3: Compliance-First Autonomous Agents</w:t>
      </w:r>
    </w:p>
    <w:p>
      <w:pPr>
        <w:jc w:val="left"/>
      </w:pPr>
      <w:r>
        <w:t xml:space="preserve">For complex, long-running operational workflows, the organization deploys highly specialized, compliance-first autonomous agents. Unlike the experimental, non-deterministic "agent swarms" of tech startups, these agents run on strict, deterministic rails and write detailed, unalterable log trails to ensure full auditability under regulatory scrutiny. In a highly regulated biotech environment, safety governance and compliance are paramount; the system must be architected under a </w:t>
      </w:r>
      <w:r>
        <w:rPr>
          <w:b/>
        </w:rPr>
        <w:t>compliance-first</w:t>
      </w:r>
      <w:r>
        <w:t xml:space="preserve"> paradigm. If a Trial Manager Assistant were to overlook a critical adverse event, or if a Synthetic KOL were to output an erroneous pathway analysis with deadly clinical implications, the consequences would be catastrophic. In these high-stakes scenarios, blaming human error is irrelevant; the system itself must enforce fail-safe verification layers.</w:t>
      </w:r>
    </w:p>
    <w:p>
      <w:pPr>
        <w:jc w:val="left"/>
      </w:pPr>
      <w:r>
        <w:t>To maintain absolute safety and auditability, the autonomous agent tier is engineered around three core structural guardrails:</w:t>
      </w:r>
    </w:p>
    <w:p>
      <w:pPr>
        <w:pStyle w:val="ListBullet"/>
      </w:pPr>
      <w:r>
        <w:rPr>
          <w:b/>
        </w:rPr>
        <w:t>Tamper-Evident Audit Trails</w:t>
      </w:r>
      <w:r>
        <w:t>: Every decision, database query, and tool execution performed by an agent is captured in a cryptographically signed, immutable transaction log. This ensures that regulatory auditors can trace the exact lineage of any clinical study report or protocol recommendation back to its raw database sources.</w:t>
      </w:r>
    </w:p>
    <w:p>
      <w:pPr>
        <w:pStyle w:val="ListBullet"/>
      </w:pPr>
      <w:r>
        <w:rPr>
          <w:b/>
        </w:rPr>
        <w:t>Multi-Agent Verification Loops</w:t>
      </w:r>
      <w:r>
        <w:t xml:space="preserve">: Agents do not operate in isolation. The primary execution agent is continuously monitored by independent </w:t>
      </w:r>
      <w:r>
        <w:rPr>
          <w:i/>
        </w:rPr>
        <w:t>critic</w:t>
      </w:r>
      <w:r>
        <w:t xml:space="preserve"> and </w:t>
      </w:r>
      <w:r>
        <w:rPr>
          <w:i/>
        </w:rPr>
        <w:t>compliance validator</w:t>
      </w:r>
      <w:r>
        <w:t xml:space="preserve"> agents. These validators run separate, deterministic scripts to verify the correctness of the primary agent's output before it is ever staged for human review.</w:t>
      </w:r>
    </w:p>
    <w:p>
      <w:pPr>
        <w:pStyle w:val="ListBullet"/>
      </w:pPr>
      <w:r>
        <w:rPr>
          <w:b/>
        </w:rPr>
        <w:t>Hardcoded Clinical Fail-Safes</w:t>
      </w:r>
      <w:r>
        <w:t>: All agents are bound by strict, non-bypassable code boundaries. If an agent detects a critical safety signal—such as a Serious Adverse Event (SAE) in the EDC database—it initiates a hardcoded escalation protocol. The agent cannot close the ticket autonomously; it must trigger multiple redundant alert channels (SMS, email, and CTMS notifications) to human clinical directors and CRA managers, escalating to senior medical officers if confirmation is not received within a strict SLA window.</w:t>
      </w:r>
    </w:p>
    <w:p>
      <w:pPr>
        <w:jc w:val="left"/>
      </w:pPr>
      <w:r>
        <w:t>To execute these end-to-end clinical operations, the AI-native biotech maintains three core autonomous agent archetypes:</w:t>
      </w:r>
    </w:p>
    <w:p>
      <w:pPr>
        <w:pStyle w:val="ListBullet"/>
      </w:pPr>
      <w:r>
        <w:rPr>
          <w:b/>
        </w:rPr>
        <w:t>Synthetic Key Opinion Leader (KOL)</w:t>
      </w:r>
      <w:r>
        <w:t>: Models virtual advisory panels by compiling publication histories, clinical databases, and regulatory guidelines into specialized agent personas to stress-test clinical strategy and messaging before human engagement.</w:t>
      </w:r>
    </w:p>
    <w:p>
      <w:pPr>
        <w:pStyle w:val="ListBullet"/>
      </w:pPr>
      <w:r>
        <w:rPr>
          <w:b/>
        </w:rPr>
        <w:t>Company Brain</w:t>
      </w:r>
      <w:r>
        <w:t>: Compiles institutional research, clinical data, and organizational history into a structured, persistent, and compounding codebase that provides a single source of truth for the organization.</w:t>
      </w:r>
    </w:p>
    <w:p>
      <w:pPr>
        <w:pStyle w:val="ListBullet"/>
      </w:pPr>
      <w:r>
        <w:rPr>
          <w:b/>
        </w:rPr>
        <w:t>Trial Manager Assistant</w:t>
      </w:r>
      <w:r>
        <w:t>: Parses active clinical databases (such as EDC and CTMS) in real time to monitor trial operations, coordinate site logistics, and alert clinical teams to GCP violations and operational bottlenecks.</w:t>
      </w:r>
    </w:p>
    <w:p>
      <w:pPr>
        <w:jc w:val="left"/>
      </w:pPr>
      <w:r>
        <w:t>By combining cryptographically signed logs, multi-agent validation loops, and hardcoded safety guardrails, these three core agent archetypes represent the technical and operational maturity of the AI-native biotech. The sections below analyze the clinical architecture and safety governance of each autonomous system in detail.</w:t>
      </w:r>
    </w:p>
    <w:p>
      <w:pPr>
        <w:pStyle w:val="Heading2"/>
      </w:pPr>
      <w:r>
        <w:t>4. Synthetic KOL: Virtual Advisory Panels</w:t>
      </w:r>
    </w:p>
    <w:p>
      <w:pPr>
        <w:jc w:val="left"/>
      </w:pPr>
      <w:r>
        <w:t>Key external stakeholders—such as Key Opinion Leaders (KOLs), global regulatory authorities, and healthcare payers—represent the critical checkpoints whose validation determines a therapeutic asset's regulatory and commercial success. Engaging these groups is historically slow, expensive, and constrained by organizational mindshare.</w:t>
      </w:r>
    </w:p>
    <w:p>
      <w:pPr>
        <w:pStyle w:val="Heading3"/>
      </w:pPr>
      <w:r>
        <w:t>Persona: The Synthetic Key Opinion Leader</w:t>
      </w:r>
    </w:p>
    <w:p>
      <w:pPr>
        <w:jc w:val="left"/>
      </w:pPr>
      <w:r>
        <w:t xml:space="preserve">A </w:t>
      </w:r>
      <w:r>
        <w:rPr>
          <w:b/>
        </w:rPr>
        <w:t>Synthetic Key Opinion Leader</w:t>
      </w:r>
      <w:r>
        <w:t xml:space="preserve"> is a virtual advisory entity constructed by translating dense clinical publications, patents, registries, and past statements of therapeutic experts into customized agent personas.</w:t>
      </w:r>
    </w:p>
    <w:p>
      <w:pPr>
        <w:jc w:val="left"/>
      </w:pPr>
      <w:r>
        <w:t>This approach rests on a well-established behavioral premise: in real life, prominent scientific experts and academic physicians rarely deviate from their long-established, public beliefs and past statements. They operate within highly consistent, observable intellectual frameworks. By leveraging advanced language models, the AI-native biotech translates these publications, patents, clinical trial registries, regulatory guidelines, and insurance coverage histories into highly customized virtual expert personas. This expands advisory panels beyond traditional KOLs to include virtual regulatory auditors and synthetic healthcare payers.</w:t>
      </w:r>
    </w:p>
    <w:p>
      <w:pPr>
        <w:jc w:val="left"/>
      </w:pPr>
      <w:r>
        <w:t>The value proposition of these panels centers on accessibility and speed:</w:t>
      </w:r>
    </w:p>
    <w:p>
      <w:pPr>
        <w:pStyle w:val="ListBullet"/>
      </w:pPr>
      <w:r>
        <w:rPr>
          <w:b/>
        </w:rPr>
        <w:t>Fingertip Accessibility</w:t>
      </w:r>
      <w:r>
        <w:t>: The primary value is not the direct cost savings—although significant, as Delve AI shows synthetic respondents cost $0.99–$2.00 versus $400–$600 for human interviews.</w:t>
      </w:r>
    </w:p>
    <w:p>
      <w:pPr>
        <w:pStyle w:val="ListBullet"/>
      </w:pPr>
      <w:r>
        <w:rPr>
          <w:b/>
        </w:rPr>
        <w:t>Velocity of Insight</w:t>
      </w:r>
      <w:r>
        <w:t>: Having a representative, synthetic panel of global experts immediately accessible allows the strategy team to stress-test commercial positioning, pre-test scientific messaging, and critique clinical protocols in minutes rather than weeks.</w:t>
      </w:r>
    </w:p>
    <w:p>
      <w:pPr>
        <w:jc w:val="left"/>
      </w:pPr>
      <w:r>
        <w:t>However, deploying synthetic panels introduces critical risks. Language models tend toward consensus, suppressing highly novel, eccentric, or contrarian insights—the "novelty suppression" or "missing 23%" problem, where LLMs fail to recover specific human insights. Furthermore, organizations must avoid the "Demiurge" problem, where a researcher constructing both the synthetic respondent and the moderator runs the risk of creating a sophisticated echo chamber of their own assumptions.</w:t>
      </w:r>
    </w:p>
    <w:p>
      <w:pPr>
        <w:jc w:val="left"/>
      </w:pPr>
      <w:r>
        <w:t xml:space="preserve">To mitigate these dynamics, the operational architecture must enforce strict </w:t>
      </w:r>
      <w:r>
        <w:rPr>
          <w:b/>
        </w:rPr>
        <w:t>Adversarial Separation</w:t>
      </w:r>
      <w:r>
        <w:t>. The team designing and prompting the synthetic KOL panel must be entirely independent of the strategic team evaluating the output and making final R&amp;D decisions. Most importantly, because a regulated biotech cannot afford a "move fast and break things" engineering posture, these synthetic panels are never used to bypass actual human trials or official regulatory interactions. Instead, they serve as preliminary stress-testing guardrails to ensure clinical trial designs and regulatory narratives are robust, safe, and fully aligned with known regulatory compliance baselines before any clinical work is executed.</w:t>
      </w:r>
    </w:p>
    <w:p>
      <w:pPr>
        <w:jc w:val="left"/>
      </w:pPr>
      <w:r>
        <w:t>To prevent erroneous synthetic insights from guiding critical R&amp;D decisions with lethal real-world implications, the governance model enforces a strict scientific escalation rule: any protocol or strategic direction suggested by a synthetic panel must undergo formal, empirical laboratory validation and human-led scientific advisory board approval before capital is allocated or regulatory filings are initiated. It is irrelevant whether human error is involved; the system itself enforces this double-key validation gate.</w:t>
      </w:r>
    </w:p>
    <w:p>
      <w:pPr>
        <w:pStyle w:val="Heading2"/>
      </w:pPr>
      <w:r>
        <w:t>5. Company Brain: Compounding Organizational Intelligence</w:t>
      </w:r>
    </w:p>
    <w:p>
      <w:pPr>
        <w:jc w:val="left"/>
      </w:pPr>
      <w:r>
        <w:t>In a traditional biotechnology organization, critical knowledge is siloed across thousands of clinical protocols, scientific papers, meeting transcripts, and vendor invoices. Standard search or basic enterprise Retrieval-Augmented Generation (RAG) systems parse these documents from scratch on every query, leading to high latency, repetitive computational costs, and zero long-term accumulation of corporate intelligence.</w:t>
      </w:r>
    </w:p>
    <w:p>
      <w:pPr>
        <w:jc w:val="left"/>
      </w:pPr>
      <w:r>
        <w:t xml:space="preserve">Y Combinator's Summer 2026 Request for Startups (RFS) explicitly highlights the </w:t>
      </w:r>
      <w:r>
        <w:rPr>
          <w:b/>
        </w:rPr>
        <w:t>Company Brain</w:t>
      </w:r>
      <w:r>
        <w:t xml:space="preserve"> as the critical, missing layer between raw corporate data and reliable AI automation. It is the living, structured map of how a company works, turning fragmented files into executable skills for agents.</w:t>
      </w:r>
    </w:p>
    <w:p>
      <w:pPr>
        <w:pStyle w:val="Heading3"/>
      </w:pPr>
      <w:r>
        <w:t>Paradigm: The LLM Wiki</w:t>
      </w:r>
    </w:p>
    <w:p>
      <w:pPr>
        <w:jc w:val="left"/>
      </w:pPr>
      <w:r>
        <w:t xml:space="preserve">To solve the silo issue, the AI-native biotech implements Andrej Karpathy's </w:t>
      </w:r>
      <w:r>
        <w:rPr>
          <w:b/>
        </w:rPr>
        <w:t>LLM Wiki</w:t>
      </w:r>
      <w:r>
        <w:t xml:space="preserve"> paradigm—a persistent codebase of structured markdown files where autonomous agents compile, reconcile, and integrate raw institutional data once, replacing ephemeral RAG pipelines with compounding corporate knowledge. When a new source is introduced, the agent compiles and integrates it once, updating concept pages and resolving contradictions. This architecture is organized into a robust three-layer system:</w:t>
      </w:r>
    </w:p>
    <w:p>
      <w:pPr>
        <w:jc w:val="left"/>
      </w:pPr>
      <w:r>
        <w:t xml:space="preserve">1. </w:t>
      </w:r>
      <w:r>
        <w:rPr>
          <w:b/>
        </w:rPr>
        <w:t>Raw Sources (Immutable)</w:t>
      </w:r>
      <w:r>
        <w:t>: Scientific papers, clinical protocols, trial registries, meeting transcripts.</w:t>
      </w:r>
    </w:p>
    <w:p>
      <w:pPr>
        <w:jc w:val="left"/>
      </w:pPr>
      <w:r>
        <w:t xml:space="preserve">2. </w:t>
      </w:r>
      <w:r>
        <w:rPr>
          <w:b/>
        </w:rPr>
        <w:t>The Wiki (Persistent Markdown)</w:t>
      </w:r>
      <w:r>
        <w:t>: A structured directory of concept maps, molecule profiles, and operational guides written and maintained by the agent.</w:t>
      </w:r>
    </w:p>
    <w:p>
      <w:pPr>
        <w:jc w:val="left"/>
      </w:pPr>
      <w:r>
        <w:t xml:space="preserve">3. </w:t>
      </w:r>
      <w:r>
        <w:rPr>
          <w:b/>
        </w:rPr>
        <w:t>The Schema (Rules &amp; Metacognition)</w:t>
      </w:r>
      <w:r>
        <w:t>: A central configuration file (e.g., `AGENTS.md`) defining the boundaries, directory structures, and ingestion standards.</w:t>
      </w:r>
    </w:p>
    <w:p>
      <w:pPr>
        <w:jc w:val="left"/>
      </w:pPr>
      <w:r>
        <w:t>In day-to-day business operations, the LLM Wiki operates through three core automated workflows:</w:t>
      </w:r>
    </w:p>
    <w:p>
      <w:pPr>
        <w:pStyle w:val="ListBullet"/>
      </w:pPr>
      <w:r>
        <w:rPr>
          <w:b/>
        </w:rPr>
        <w:t>Ingest</w:t>
      </w:r>
      <w:r>
        <w:t>: Ingesting a raw source automatically updates the central catalog index and propagates changes across 10–15 related concept files.</w:t>
      </w:r>
    </w:p>
    <w:p>
      <w:pPr>
        <w:pStyle w:val="ListBullet"/>
      </w:pPr>
      <w:r>
        <w:rPr>
          <w:b/>
        </w:rPr>
        <w:t>Query</w:t>
      </w:r>
      <w:r>
        <w:t>: The agent reads a structured index catalog to locate highly relevant pages and synthesize answers with exact citations.</w:t>
      </w:r>
    </w:p>
    <w:p>
      <w:pPr>
        <w:pStyle w:val="ListBullet"/>
      </w:pPr>
      <w:r>
        <w:rPr>
          <w:b/>
        </w:rPr>
        <w:t>Lint</w:t>
      </w:r>
      <w:r>
        <w:t>: The agent executes periodic background audits to flag contradictions between old and new data, identify knowledge gaps, and repair broken cross-references.</w:t>
      </w:r>
    </w:p>
    <w:p>
      <w:pPr>
        <w:jc w:val="left"/>
      </w:pPr>
      <w:r>
        <w:t>The wiki relies on two main structured files:</w:t>
      </w:r>
    </w:p>
    <w:p>
      <w:pPr>
        <w:pStyle w:val="ListBullet"/>
      </w:pPr>
      <w:r>
        <w:t>`index.md`: A categorized catalog of all wiki pages containing links and one-line summaries.</w:t>
      </w:r>
    </w:p>
    <w:p>
      <w:pPr>
        <w:pStyle w:val="ListBullet"/>
      </w:pPr>
      <w:r>
        <w:t>`log.md`: An append-only, chronological journal of all operations.</w:t>
      </w:r>
    </w:p>
    <w:p>
      <w:pPr>
        <w:jc w:val="left"/>
      </w:pPr>
      <w:r>
        <w:t>To meet GxP compliance standards, every ingestion, query, and background reconciliation performed by the Company Brain must generate a cryptographic, tamper-evident audit trail. This ensures that every synthesized concept, protocol analysis, or source reference can be traced back directly to its primary source and validated during regulatory audits.</w:t>
      </w:r>
    </w:p>
    <w:p>
      <w:pPr>
        <w:jc w:val="left"/>
      </w:pPr>
      <w:r>
        <w:t>This system delivers a major operational outcome: a smaller, highly leveraged clinical team operates with total, unified context. The LLM Wiki is entirely language-agnostic, enabling global clinical teams to operate seamlessly across borders with perfect translation and synchronization.</w:t>
      </w:r>
    </w:p>
    <w:p>
      <w:pPr>
        <w:jc w:val="left"/>
      </w:pPr>
      <w:r>
        <w:t xml:space="preserve">Crucially, the Company Brain represents a fundamental evolution beyond passive, static enterprise storage systems like Confluence or SharePoint. By ingesting active meeting memos, trial dashboards, strategic board discussions, and clinical stage-gate decisions, it functions as a centralized, dynamic, and fully auditable </w:t>
      </w:r>
      <w:r>
        <w:rPr>
          <w:b/>
        </w:rPr>
        <w:t>AI Chief of Staff</w:t>
      </w:r>
      <w:r>
        <w:t xml:space="preserve"> that sits at the center of the organization. Clinical directors and executives can query the Company Brain about any drug candidate, protocol, or competitive update and receive a highly synthesized response, directly cited to specific meeting memos, discussions, and trial registries.</w:t>
      </w:r>
    </w:p>
    <w:p>
      <w:pPr>
        <w:pStyle w:val="Heading2"/>
      </w:pPr>
      <w:r>
        <w:t>6. Trial Manager Assistant: Clinical ITSM and Operational Coordination</w:t>
      </w:r>
    </w:p>
    <w:p>
      <w:pPr>
        <w:jc w:val="left"/>
      </w:pPr>
      <w:r>
        <w:t>The logistics of clinical trial execution are traditionally plagued by administrative latency and communication silos. The AI-native biotech addresses this by adapting IT Service Management (ITSM) principles—specifically real-time monitoring, automated ticketing, severity-based triaging, and service level agreements (SLAs)—to clinical trial execution. Instead of managing server alerts, the system monitors clinical data streams to identify, flag, and coordinate resolution of operational trial bottlenecks.</w:t>
      </w:r>
    </w:p>
    <w:p>
      <w:pPr>
        <w:pStyle w:val="Heading3"/>
      </w:pPr>
      <w:r>
        <w:t>Architecture: Clinical ITSM</w:t>
      </w:r>
    </w:p>
    <w:p>
      <w:pPr>
        <w:jc w:val="left"/>
      </w:pPr>
      <w:r>
        <w:t xml:space="preserve">The </w:t>
      </w:r>
      <w:r>
        <w:rPr>
          <w:b/>
        </w:rPr>
        <w:t>Clinical ITSM</w:t>
      </w:r>
      <w:r>
        <w:t xml:space="preserve"> architecture is an automated workflow loop where background agents parse clinical databases (EDC, CTMS, EHR, and supply chain) in real time to triage operational anomalies, route tasks to human owners, and execute automated compliance nudges.</w:t>
      </w:r>
    </w:p>
    <w:p>
      <w:pPr>
        <w:jc w:val="left"/>
      </w:pPr>
      <w:r>
        <w:t>This operational loop executes across three core steps:</w:t>
      </w:r>
    </w:p>
    <w:p>
      <w:pPr>
        <w:pStyle w:val="ListBullet"/>
      </w:pPr>
      <w:r>
        <w:rPr>
          <w:b/>
        </w:rPr>
        <w:t>Continuous Monitoring</w:t>
      </w:r>
      <w:r>
        <w:t>: Autonomous agents act as background observers, parsing daily site enrollment speeds, data entry delays in the Electronic Data Capture (EDC) system, protocol deviations, and clinical inventory thresholds.</w:t>
      </w:r>
    </w:p>
    <w:p>
      <w:pPr>
        <w:pStyle w:val="ListBullet"/>
      </w:pPr>
      <w:r>
        <w:rPr>
          <w:b/>
        </w:rPr>
        <w:t>Automated Triage and Routing</w:t>
      </w:r>
      <w:r>
        <w:t>: When an anomaly is detected (e.g., a site's data entry backlog exceeds 48 hours, or a cold-chain shipment temperature deviates), the agent automatically logs the incident, determines its severity (ranging from P4 operational alerts up to P1 clinical emergencies, such as a Serious Adverse Event), and routes it to the appropriate human owner with a suggested GxP-compliant resolution. For P1 safety-critical alerts, the system initiates a hardcoded, redundant escalation loop across multiple channels (SMS, email, and CTMS dashboard alerts). If a human operator does not acknowledge the safety signal within a strict SLA window, the system automatically escalates the alert to the Chief Medical Officer. Because ignoring an adverse event has catastrophic regulatory and clinical implications, this escalation logic is hardcoded and cannot be modified or bypassed by the agent.</w:t>
      </w:r>
    </w:p>
    <w:p>
      <w:pPr>
        <w:pStyle w:val="ListBullet"/>
      </w:pPr>
      <w:r>
        <w:rPr>
          <w:b/>
        </w:rPr>
        <w:t>Autonomous Interaction</w:t>
      </w:r>
      <w:r>
        <w:t>: For routine compliance tasks, the agent drafts and dispatches personalized, language-localized nudges directly to clinical site coordinators, bypassing manual investigator emails and reducing "white space" latency.</w:t>
      </w:r>
    </w:p>
    <w:p>
      <w:pPr>
        <w:jc w:val="left"/>
      </w:pPr>
      <w:r>
        <w:t>The core value proposition focuses on proactive risk mitigation, data integrity, and enhanced executive leverage. Traditional clinical trials rely on periodic, manual audits (often monthly or quarterly during CRA visits), leaving critical protocol compliance gaps unaddressed for weeks. The Trial Manager Assistant establishes a real-time audit posture, ensuring that GCP compliance is continuously monitored and recorded. By automating 80% of routine tracking, vendor queries, and compliance alert triaging, clinical operators can manage trial logistics with far greater precision and zero degradation in data quality.</w:t>
      </w:r>
    </w:p>
    <w:p>
      <w:pPr>
        <w:jc w:val="left"/>
      </w:pPr>
      <w:r>
        <w:t xml:space="preserve">Deploying these systems introduces risks of sociotechnical friction, as highlighted in the </w:t>
      </w:r>
      <w:r>
        <w:rPr>
          <w:b/>
        </w:rPr>
        <w:t>JMIR AI 2026 Framework</w:t>
      </w:r>
      <w:r>
        <w:t xml:space="preserve">. If agents contact clinical sites too frequently or with incorrect contexts, they risk causing investigator fatigue and clinical site alienation. Furthermore, because a regulated clinical trial cannot afford any non-deterministic behavior, the system enforces a strict guardrail: </w:t>
      </w:r>
      <w:r>
        <w:rPr>
          <w:b/>
        </w:rPr>
        <w:t>humans-in-the-loop</w:t>
      </w:r>
      <w:r>
        <w:t>. The agent operates as an advisor and draft-generator for external-facing communication, and all external interactions, protocol changes, and critical clinical decisions require explicit human authorization before execution. This ensures full alignment with regulatory expectations for clinical data oversight.</w:t>
      </w:r>
    </w:p>
    <w:p>
      <w:pPr>
        <w:pStyle w:val="Heading2"/>
      </w:pPr>
      <w:r>
        <w:t>7. Final Thought</w:t>
      </w:r>
    </w:p>
    <w:p>
      <w:pPr>
        <w:jc w:val="left"/>
      </w:pPr>
      <w:r>
        <w:t xml:space="preserve">Ultimately, the transition to the </w:t>
      </w:r>
      <w:r>
        <w:rPr>
          <w:b/>
        </w:rPr>
        <w:t>AI-native biotech</w:t>
      </w:r>
      <w:r>
        <w:t xml:space="preserve"> represents the next frontier of therapeutic development—shifting the focus from early-stage target prediction to the agentic execution of clinical trials. By pairing elite clinical leadership with a universally adopted, compliance-first suite of autonomous agents, we establish unprecedented operational leverage and safety. This model enables us to run circles around administrative-heavy legacy organizations, execute cross-border diligence with 10x agility, and systematically mitigate clinical trial risks. This paradigm shift represents a once-in-a-lifetime opportunity to leverage compounding corporate intelligence and build a generational, $100 billion to $1 trillion therapeutic development company.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left"/>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