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t>Transitioning to the AI-Native Biotech: Compounding 10x Operational Leverage in Clinical Development</w:t>
      </w:r>
    </w:p>
    <w:p>
      <w:pPr>
        <w:jc w:val="left"/>
      </w:pPr>
      <w:r>
        <w:t>Author: Forward Deployed Engineering Task Force / Biotech Strategy Group</w:t>
      </w:r>
    </w:p>
    <w:p>
      <w:pPr>
        <w:jc w:val="left"/>
      </w:pPr>
      <w:r>
        <w:t>Date: May 2026</w:t>
      </w:r>
    </w:p>
    <w:p>
      <w:pPr>
        <w:jc w:val="left"/>
      </w:pPr>
      <w:r>
        <w:t>Classification: Biotech Strategy Memo</w:t>
      </w:r>
    </w:p>
    <w:p>
      <w:pPr>
        <w:jc w:val="left"/>
      </w:pPr>
      <w:r>
        <w:t>Audience: Biotechnology Executives, Clinical Operations Leaders, R&amp;D Portfolio Managers, Venture Capitalists</w:t>
      </w:r>
    </w:p>
    <w:p>
      <w:pPr>
        <w:jc w:val="left"/>
      </w:pPr>
      <w:r>
        <w:t>Executive Summary</w:t>
      </w:r>
    </w:p>
    <w:p>
      <w:pPr>
        <w:jc w:val="left"/>
      </w:pPr>
      <w:r>
        <w:t>The biotechnology sector in May 2026 stands at a critical inflection point. For over a decade, early-stage biotechnology platforms have relied on traditional statistical machine learning (ML) models to identify targets, optimize compound binding affinities, and screen vast in silico molecular libraries. While these computational target discovery engines have successfully populated preclinical pipelines with high-quality candidates, they have failed to resolve the industry's most expensive problem: clinical trial attrition.</w:t>
      </w:r>
    </w:p>
    <w:p>
      <w:pPr>
        <w:jc w:val="left"/>
      </w:pPr>
      <w:r>
        <w:t>The primary operational bottleneck of drug development is not target math; it is downstream clinical execution, specifically during high-stakes Phase 2 and Phase 3 trials. It is in this "clinical execution space"—where operational complexity, protocol design flaws, manual data-management bottlenecks, and administrative handoff delays reside—that over 90% of therapeutic assets fail, draining billions in capital and delaying life-saving therapies by years.</w:t>
      </w:r>
    </w:p>
    <w:p>
      <w:pPr>
        <w:jc w:val="left"/>
      </w:pPr>
      <w:r>
        <w:t>This memo defines the emergence of the true "AI-native biotech"—an organization that goes beyond early-stage target math to re-engineer the entire operational biology of the company. In an AI-native biotech, every employee, from the Chief Medical Officer to the clinical quality auditor, is augmented by a network of goal-directed, autonomous AI agents. These digital teammates proactively coordinate trial protocols, parse unstructured patient records, automate GxP-compliant regulatory filings, and eliminate manual "white space" with human-in-the-loop oversight.</w:t>
      </w:r>
    </w:p>
    <w:p>
      <w:pPr>
        <w:jc w:val="left"/>
      </w:pPr>
      <w:r>
        <w:t>By replacing legacy administrative handoffs with continuous agentic orchestration, an AI-native biotech compresses clinical trial timelines by 40% to 60%, eliminates critical protocol compliance risks, and achieves a 10x operational productivity leap across pivotal drug development roles.</w:t>
      </w:r>
    </w:p>
    <w:p>
      <w:pPr>
        <w:jc w:val="left"/>
      </w:pPr>
      <w:r>
        <w:t>Because biotechnology operations are entirely knowledge-based—defined by dense clinical protocols, extensive literature corpuses, massive databases, and highly structured regulatory filings—it is, after software development, the most natural sector to embrace autonomous agentic architectures. This document provides a detailed strategic framework for executives, clinical leaders, and investors to navigate and execute this operational transformation.</w:t>
      </w:r>
    </w:p>
    <w:p>
      <w:pPr>
        <w:pStyle w:val="Heading1"/>
      </w:pPr>
      <w:r>
        <w:t>1. Defining the AI-Native Biotech</w:t>
      </w:r>
    </w:p>
    <w:p>
      <w:pPr>
        <w:jc w:val="left"/>
      </w:pPr>
      <w:r>
        <w:t>To fully capture the leverage of this paradigm shift, it is necessary to establish a clear distinction between the legacy "AI-enabled" discovery platform and the modern "AI-native" clinical developer.</w:t>
      </w:r>
    </w:p>
    <w:p>
      <w:pPr>
        <w:jc w:val="left"/>
      </w:pPr>
      <w:r>
        <w:t>Traditional ML in drug discovery is a highly successful and mature upstream paradigm. These platforms excel at processing structured molecular structures to predict binding affinities or optimize lead compounds. However, they are fundamentally static, isolated mathematical models designed to predict a single parameter. They do not reason, they do not manage operational workflows, and they do not address the clinical execution bottlenecks that govern whether a drug actually reaches a patient.</w:t>
      </w:r>
    </w:p>
    <w:p>
      <w:pPr>
        <w:jc w:val="left"/>
      </w:pPr>
      <w:r>
        <w:t>Conversely, the AI-native biotech operates downstream of molecular design. An AI-native biotech is defined by the operational integration of networks of goal-directed, autonomous AI agents acting as digital teammates across the entire drug development lifecycle. Business operations are designed AI-first: rather than forcing AI into legacy software architectures, workflows are built to enable agents to proactively orchestrate tasks, parse unstructured patient records, reason through complex clinical protocols, and draft GxP-compliant filings with human oversight.</w:t>
      </w:r>
    </w:p>
    <w:p>
      <w:pPr>
        <w:jc w:val="left"/>
      </w:pPr>
      <w:r>
        <w:t>This operational reality is validated by a growing body of peer-reviewed scientific literature and practical platform implementations:</w:t>
      </w:r>
    </w:p>
    <w:p>
      <w:pPr>
        <w:pStyle w:val="Quote"/>
      </w:pPr>
      <w:r>
        <w:rPr>
          <w:b/>
          <w:i/>
        </w:rPr>
        <w:t>Academic Consensus:</w:t>
      </w:r>
      <w:r>
        <w:rPr>
          <w:i/>
        </w:rPr>
        <w:t xml:space="preserve"> Autonomous, goal-directed agents extend beyond traditional ML and isolated LLMs by enabling autonomous actions across the clinical trial lifecycle. These systems have the potential to coordinate activities leveraging trial protocols and patient data, invoking tools dynamically, and interacting with multiple components of a clinical trial pipeline — mimicking roles such as coordinators or analysts.</w:t>
      </w:r>
    </w:p>
    <w:p>
      <w:pPr>
        <w:pStyle w:val="Quote"/>
      </w:pPr>
    </w:p>
    <w:p>
      <w:pPr>
        <w:pStyle w:val="Quote"/>
      </w:pPr>
      <w:r>
        <w:rPr>
          <w:i/>
        </w:rPr>
        <w:t>Source: Badani, A., de Moraes, F.Y., Vollmuth, P., et al. "AI and innovation in clinical trials." npj Digit. Med. 8, 683 (2025). DOI: 10.1038/s41746-025-02048-5 (https://doi.org/10.1038/s41746-025-02048-5)</w:t>
      </w:r>
    </w:p>
    <w:p>
      <w:pPr>
        <w:jc w:val="left"/>
      </w:pPr>
      <w:r>
        <w:t>This theoretical capacity is realized in several validated agent frameworks:</w:t>
      </w:r>
    </w:p>
    <w:p>
      <w:pPr>
        <w:pStyle w:val="ListBullet"/>
      </w:pPr>
      <w:r>
        <w:rPr>
          <w:b/>
        </w:rPr>
        <w:t>ClinicalAgent (arXiv:2404.14777):</w:t>
      </w:r>
      <w:r>
        <w:t xml:space="preserve"> Developed by Yue et al. (2024), this multi-agent framework utilizes GPT-4 with Reasoning and Acting (ReAct) and Least-to-Most prompting structures to act as a virtual clinical team. By integrating external patient data and historical trial metrics, ClinicalAgent improved clinical trial outcome and failure prediction by 0.33 AUC over baseline prompting methods, while dynamically predicting enrollment timelines and highlighting enrollment bottlenecks. (https://arxiv.org/abs/2404.14777)</w:t>
      </w:r>
    </w:p>
    <w:p>
      <w:pPr>
        <w:pStyle w:val="ListBullet"/>
      </w:pPr>
      <w:r>
        <w:rPr>
          <w:b/>
        </w:rPr>
        <w:t>MAKAR (arXiv:2411.14637):</w:t>
      </w:r>
      <w:r>
        <w:t xml:space="preserve"> A double-module multi-agent system developed by Shi et al. (2024) to automate patient-trial eligibility matching. An Augmentation Module translates ambiguous inclusion/exclusion criteria into clear clinical concepts, while a Reasoning Module uses specialized Collaborator, Critique, and Navigator agents to match patient charts. MAKAR achieved an average F1-score improvement of 7% to 8% across clinical datasets and reached 100% accuracy in controlled matching tasks, executing locally to ensure patient data privacy. (https://arxiv.org/abs/2411.14637)</w:t>
      </w:r>
    </w:p>
    <w:p>
      <w:pPr>
        <w:pStyle w:val="ListBullet"/>
      </w:pPr>
      <w:r>
        <w:rPr>
          <w:b/>
        </w:rPr>
        <w:t>Medable Agent Studio:</w:t>
      </w:r>
      <w:r>
        <w:t xml:space="preserve"> An enterprise platform that enables clinical operations teams to deploy pre-configured, GxP-compliant Clinical Research Associate (CRA) and electronic Trial Master File (eTMF) agents. These agents continuously audit data streams, automate document organization, and flag risk patterns in real time. (https://www.medable.com/platform/agent-studio)</w:t>
      </w:r>
    </w:p>
    <w:p>
      <w:pPr>
        <w:pStyle w:val="ListBullet"/>
      </w:pPr>
      <w:r>
        <w:rPr>
          <w:b/>
        </w:rPr>
        <w:t>BioXconomy CRA Analysis:</w:t>
      </w:r>
      <w:r>
        <w:t xml:space="preserve"> An industry analysis demonstrating that risk-based monitoring agents handle 80% of routine verification, site messaging, and monitoring report generation, shifting human CRAs from travel-heavy administrative auditing to high-value medical oversight. (https://www.bioxconomy.com/clinical-and-research/how-ai-agents-are-transforming-the-clinical-trial-process-for-cras)</w:t>
      </w:r>
    </w:p>
    <w:p>
      <w:pPr>
        <w:pStyle w:val="ListBullet"/>
      </w:pPr>
      <w:r>
        <w:rPr>
          <w:b/>
        </w:rPr>
        <w:t>Narrativa Clinical Atlas:</w:t>
      </w:r>
      <w:r>
        <w:t xml:space="preserve"> A multi-agent clinical swarm comprising Protocol Design, Protocol Burden, and Protocol Auditor agents that automates ICH M11-compliant protocol design, compressing drafting times from 6–9 months to under 2 weeks. (https://www.narrativa.com/protocol-clinical-trials-automation-with-ai-agents)</w:t>
      </w:r>
    </w:p>
    <w:p>
      <w:pPr>
        <w:jc w:val="left"/>
      </w:pPr>
      <w:r>
        <w:t>While these tools represent massive technical advancements, their successful deployment requires a rigorous sociotechnical framework. As highlighted in a 2026 publication in JMIR AI, clinical deployment is not a purely technical matching challenge. Instead, organizations must explicitly configure oversight intensity, override authority, explanation timing, and escalation logic to prevent workflow disruption and ensure patient safety. (https://doi.org/10.2196/95899)</w:t>
      </w:r>
    </w:p>
    <w:p>
      <w:pPr>
        <w:pStyle w:val="Heading1"/>
      </w:pPr>
      <w:r>
        <w:t>2. 360 Adoption: The AI-First Operational Reality</w:t>
      </w:r>
    </w:p>
    <w:p>
      <w:pPr>
        <w:jc w:val="left"/>
      </w:pPr>
      <w:r>
        <w:t>In an AI-native biotech, agent integration is ubiquitous. Every team member—from the Chief Medical Officer to the clinical quality manager—works with and through autonomous AI agents.</w:t>
      </w:r>
    </w:p>
    <w:p>
      <w:pPr>
        <w:jc w:val="left"/>
      </w:pPr>
      <w:r>
        <w:t>To achieve this state in the current market, organizations must navigate a practical reality: the team must currently rely on software developer tools, including OpenCode, VSCode, and Hermes Agent. While these developer-centric interfaces can feel awkward for business operators, they represent the most mature, reasoning-dense agent cores available in the market. Rather than waiting for polished enterprise interfaces, the AI-native biotech embraces this awkwardness to secure a structural head start, while actively driving the development of business-friendly open-source equivalents.</w:t>
      </w:r>
    </w:p>
    <w:p>
      <w:pPr>
        <w:jc w:val="left"/>
      </w:pPr>
      <w:r>
        <w:t>To maintain operational sovereignty and manage cost, the AI-native biotech operates under three core strategic imperatives:</w:t>
      </w:r>
    </w:p>
    <w:p>
      <w:pPr>
        <w:jc w:val="left"/>
      </w:pPr>
      <w:r>
        <w:t>First, the setup must be model-agnostic to mitigate the shifting Pareto curve. Standardizing a single proprietary model vendor is economically indefensible, as the capability-to-cost frontier shifts quarterly. The organization must deploy a flexible orchestration layer built on open frameworks that can dynamically route, cache, and swap models based on cost and performance parameters without requiring infrastructure rewrites.</w:t>
      </w:r>
    </w:p>
    <w:p>
      <w:pPr>
        <w:jc w:val="left"/>
      </w:pPr>
      <w:r>
        <w:t>Second, the organization must implement active token cost management. This involves deploying tiered routing architectures that default simple reasoning tasks to highly cost-effective local or open-source models, while selectively routing complex, multi-step work to frontier models, optimized via semantic caching.</w:t>
      </w:r>
    </w:p>
    <w:p>
      <w:pPr>
        <w:jc w:val="left"/>
      </w:pPr>
      <w:r>
        <w:t>Third, the organization must resist proprietary platform lock-in. Proprietary platform orchestration layers impose a high "abstraction tax" and carry dangerous operational lock-in risks. The AI-native biotech mandates an open architecture that preserves the clear boundary between the model layer and the application layer, ensuring absolute portability and enabling the company to retain full operational sovereignty over its custom AI systems and proprietary IP.</w:t>
      </w:r>
    </w:p>
    <w:p>
      <w:pPr>
        <w:jc w:val="left"/>
      </w:pPr>
      <w:r>
        <w:t>Finally, the organization must initialize agent-friendly workflows. Because AI agents operate with maximum fidelity when processing structured text, the organization must make an explicit operational pivot: minimizing PowerPoint slides and human-centric narrative-hiding formats. All strategic analyses, protocols, meeting memos, and design decisions are authored in Markdown. This allows agents to seamlessly ingest, link, reason over, and update the corporate knowledge corpus without human transcription friction.</w:t>
      </w:r>
    </w:p>
    <w:p>
      <w:pPr>
        <w:pStyle w:val="Heading1"/>
      </w:pPr>
      <w:r>
        <w:t>3. Phase 2/3 Pivotal Roles: The 10x Operational Reality</w:t>
      </w:r>
    </w:p>
    <w:p>
      <w:pPr>
        <w:jc w:val="left"/>
      </w:pPr>
      <w:r>
        <w:t>When a biotechnology company transitions its focus toward Phase 2 and Phase 3 trials, the entire organizational gravity shifts from research-focused discovery to clinical execution. The financial stakes skyrocket because Phase 3 trials are massive, global, and highly variable in cost.</w:t>
      </w:r>
    </w:p>
    <w:p>
      <w:pPr>
        <w:jc w:val="left"/>
      </w:pPr>
      <w:r>
        <w:t>The industry benchmark for navigating this high-stakes operational pivot is established by elite clinical operators who bridge the gap between science, finance, and operational execution:</w:t>
      </w:r>
    </w:p>
    <w:p>
      <w:pPr>
        <w:pStyle w:val="Quote"/>
      </w:pPr>
      <w:r>
        <w:rPr>
          <w:b/>
          <w:i/>
        </w:rPr>
        <w:t>Operator Profile:</w:t>
      </w:r>
      <w:r>
        <w:rPr>
          <w:i/>
        </w:rPr>
        <w:t xml:space="preserve"> Elite, technically fluent hybrid talent—such as Dr. Lara S. Sullivan—combines an M.D. (University of Pennsylvania) with an M.B.A. (Wharton) and deep financial and operational experience (McKinsey, Credit Suisse). Dr. Sullivan's signature achievements, including conceiving and executing the SpringWorks Therapeutics clinical spin-out from Pfizer (which went from a $103M Series A to a $3.9B acquisition by Merck KGaA in 2025) and leading Pyxis Oncology through a $152M Series B and $168M IPO to advance next-generation Antibody-Drug Conjugates (ADCs) like micvotabart pelidotin (MICVO/PYX-201) in head and neck squamous cell carcinoma, demonstrate the immense value of rigorous, multi-functional clinical leadership.</w:t>
      </w:r>
    </w:p>
    <w:p>
      <w:pPr>
        <w:pStyle w:val="Quote"/>
      </w:pPr>
    </w:p>
    <w:p>
      <w:pPr>
        <w:pStyle w:val="Quote"/>
      </w:pPr>
      <w:r>
        <w:rPr>
          <w:i/>
        </w:rPr>
        <w:t>Source: SEC EDGAR Filings, Pyxis Oncology (Feb 2026) (https://www.sec.gov/Archives/edgar/data/1782223/000119312526041169/pyxs-20260206.htm), Fierce Pharma (Apr 2025) (https://www.fiercepharma.com/pharma/merck-kgaa-acquires-pfizer-spinout-springworks-39b)</w:t>
      </w:r>
    </w:p>
    <w:p>
      <w:pPr>
        <w:jc w:val="left"/>
      </w:pPr>
      <w:r>
        <w:t>To support this caliber of clinical leadership, an AI-native biotech reorganizes its operations around five functional pillars, deploying specialized agent networks to empower eleven pivotal roles and achieve a 10x productivity increase:</w:t>
      </w:r>
    </w:p>
    <w:p>
      <w:pPr>
        <w:pStyle w:val="Heading2"/>
      </w:pPr>
      <w:r>
        <w:t>Clinical Development &amp; Biometrics</w:t>
      </w:r>
    </w:p>
    <w:p>
      <w:pPr>
        <w:pStyle w:val="ListBullet"/>
      </w:pPr>
      <w:r>
        <w:rPr>
          <w:b/>
        </w:rPr>
        <w:t>Chief Medical Officer (CMO) / VP of Clinical Development:</w:t>
      </w:r>
      <w:r>
        <w:t xml:space="preserve"> In a traditional model, the CMO spends months drafting the clinical protocol and Target Product Profile (TPP) while managing academic key opinion leaders (KOLs) and regulatory panels. In the AI-native model, the CMO leverages clinical multi-agent swarms (like Narrativa's Clinical Atlas) to automate ICH M11-compliant protocol design. Specialized Protocol Design, Protocol Burden, and Protocol Auditor agents work in parallel to check representativeness, evaluate patient burden, and audit designs against regulatory guidelines. This compresses protocol drafting timelines from 6–9 months to under 2 weeks, representing a 10x productivity increase, while lowering downstream protocol amendments by up to 80%.</w:t>
      </w:r>
    </w:p>
    <w:p>
      <w:pPr>
        <w:pStyle w:val="ListBullet"/>
      </w:pPr>
      <w:r>
        <w:rPr>
          <w:b/>
        </w:rPr>
        <w:t>Lead Biostatistician:</w:t>
      </w:r>
      <w:r>
        <w:t xml:space="preserve"> Responsible for ensuring the trial is properly powered to prove statistical significance and managing interim readouts. The biostatistician deploys multi-agent biostatistics programming pipelines. An autonomous SAP Architect Agent ingests raw EDC schemas to draft the statistical analysis plan (SAP), while parallel Code Generator and Audit agents automatically write and run GxP-compliant SAS/R scripts. The agents perform independent double-programming to mathematically verify results, completely eliminating manual coding backlogs and accelerating the generation of interim Tables, Listings, and Figures (TLFs) by 10x.</w:t>
      </w:r>
    </w:p>
    <w:p>
      <w:pPr>
        <w:pStyle w:val="Heading2"/>
      </w:pPr>
      <w:r>
        <w:t>Clinical Operations (ClinOps)</w:t>
      </w:r>
    </w:p>
    <w:p>
      <w:pPr>
        <w:pStyle w:val="ListBullet"/>
      </w:pPr>
      <w:r>
        <w:rPr>
          <w:b/>
        </w:rPr>
        <w:t>Head of Clinical Operations / Clinical Project Directors:</w:t>
      </w:r>
      <w:r>
        <w:t xml:space="preserve"> Oversees the scaling of trials across dozens of global sites, tracking enrollment and variable costs. They deploy autonomous ClinOps agents integrated directly with the EDC and CTMS. Using ReAct-based multi-agent frameworks (such as ClinicalAgent), the agents dynamically track global enrollment velocities, predict trial duration, and flag protocol compliance risks before they cause multi-week delays. This real-time oversight allows the director to oversee 10x more sites and patients per FTE.</w:t>
      </w:r>
    </w:p>
    <w:p>
      <w:pPr>
        <w:pStyle w:val="ListBullet"/>
      </w:pPr>
      <w:r>
        <w:rPr>
          <w:b/>
        </w:rPr>
        <w:t>CRO Management Lead / Vendor Manager:</w:t>
      </w:r>
      <w:r>
        <w:t xml:space="preserve"> Governs the Contract Research Organizations (CROs) managing site monitors and clinical budgets. They employ autonomous contract and billing audit agents. The agents continuously ingest weekly CRO status updates, matching them against patient records and CTMS logs to verify clinical milestones. Discrepancies, delayed data entry, or billing anomalies are flagged automatically, reducing manual verification by 10x and enabling a single lead to govern multiple global CRO vendors simultaneously with zero administrative overhead.</w:t>
      </w:r>
    </w:p>
    <w:p>
      <w:pPr>
        <w:pStyle w:val="Heading2"/>
      </w:pPr>
      <w:r>
        <w:t>Chemistry, Manufacturing, and Controls (CMC) &amp; Supply Chain</w:t>
      </w:r>
    </w:p>
    <w:p>
      <w:pPr>
        <w:pStyle w:val="ListBullet"/>
      </w:pPr>
      <w:r>
        <w:rPr>
          <w:b/>
        </w:rPr>
        <w:t>VP of CMC / Process Development Lead:</w:t>
      </w:r>
      <w:r>
        <w:t xml:space="preserve"> Responsible for shifting production from bench batches to commercial-scale Good Manufacturing Practice (GMP) validation. They deploy CMC monitoring agents that ingest real-time Process Analytical Technology (PAT) sensor data and manufacturing run records. The agents automatically analyze stability profiles, identify chemical purity deviations, and draft Module 3 (Quality) of the Common Technical Document (CTD). By automating 90% of data extraction during tech transfer, the agent compiles compliance dossiers 10x faster with zero transcription errors.</w:t>
      </w:r>
    </w:p>
    <w:p>
      <w:pPr>
        <w:pStyle w:val="ListBullet"/>
      </w:pPr>
      <w:r>
        <w:rPr>
          <w:b/>
        </w:rPr>
        <w:t>Clinical Supply Chain Manager:</w:t>
      </w:r>
      <w:r>
        <w:t xml:space="preserve"> Manages cold-chain global logistics to ensure clinical sites have uninterrupted supplies of drugs and placebos. They utilize intelligent inventory planning agents connected to the Interactive Response Technology (IRT/RTSM). The agents run real-time demand-supply simulations, analyzing enrollment rates, shipping durations, and cold-chain temperature logs. Replenishment orders are dynamically calculated and queued to prevent patient stockouts while reducing drug waste by over 50%, resulting in a 10x planning efficiency gain.</w:t>
      </w:r>
    </w:p>
    <w:p>
      <w:pPr>
        <w:pStyle w:val="Heading2"/>
      </w:pPr>
      <w:r>
        <w:t>Regulatory Affairs &amp; Quality Assurance (QA/QC)</w:t>
      </w:r>
    </w:p>
    <w:p>
      <w:pPr>
        <w:pStyle w:val="ListBullet"/>
      </w:pPr>
      <w:r>
        <w:rPr>
          <w:b/>
        </w:rPr>
        <w:t>VP of Regulatory Affairs:</w:t>
      </w:r>
      <w:r>
        <w:t xml:space="preserve"> Leads the strategy for the New Drug Application (NDA) or Biologics License Application (BLA). They orchestrate a multi-agent regulatory submission swarm. Specialized drafting agents ingest raw preclinical and clinical dossiers to generate Module 2 (Summaries) and Module 5 (Clinical Study Reports) of the CTD. In parallel, a dedicated Auditor Agent cross-references every drafted clinical claim and data point directly back to source SAS tables and raw clinical databases. This compresses the timeline for NDA/BLA dossier assembly from several months to under two weeks, achieving a 10x productivity leap.</w:t>
      </w:r>
    </w:p>
    <w:p>
      <w:pPr>
        <w:pStyle w:val="ListBullet"/>
      </w:pPr>
      <w:r>
        <w:rPr>
          <w:b/>
        </w:rPr>
        <w:t>Head of Clinical Quality &amp; Inspection Readiness:</w:t>
      </w:r>
      <w:r>
        <w:t xml:space="preserve"> Ensures absolute adherence to Good Clinical Practice (GCP). They deploy continuous inspection-readiness agents (such as Medable's eTMF and CRA Agents). The agents run persistent background audits across the electronic Trial Master File (eTMF) and EDC, automatically classifying documents against the DIA TMF Reference Model and identifying incomplete signatures, missing files, or logical discrepancies. This shifts GCP compliance from high-stress quarterly audits to a continuous, real-time readiness model, reducing inspection preparation workloads by 10x.</w:t>
      </w:r>
    </w:p>
    <w:p>
      <w:pPr>
        <w:pStyle w:val="Heading2"/>
      </w:pPr>
      <w:r>
        <w:t>Commercial Readiness &amp; Market Access</w:t>
      </w:r>
    </w:p>
    <w:p>
      <w:pPr>
        <w:pStyle w:val="ListBullet"/>
      </w:pPr>
      <w:r>
        <w:rPr>
          <w:b/>
        </w:rPr>
        <w:t>Chief Commercial Officer (CCO) / Head of Marketing:</w:t>
      </w:r>
      <w:r>
        <w:t xml:space="preserve"> Maps the competitive landscape and designs the GTM framework. They utilize competitive intelligence and medical communications agents. The agents continuously crawl trial registries, conference abstracts, and medical literature to map the changing competitive landscape. Marketing agents automatically translate complex clinical trial data into compliant draft medical communications, scientific slide decks, and educational materials, accelerating commercial launch readiness and custom content preparation by 10x.</w:t>
      </w:r>
    </w:p>
    <w:p>
      <w:pPr>
        <w:pStyle w:val="ListBullet"/>
      </w:pPr>
      <w:r>
        <w:rPr>
          <w:b/>
        </w:rPr>
        <w:t>Market Access &amp; HEOR (Health Economics and Outcomes Research) Director:</w:t>
      </w:r>
      <w:r>
        <w:t xml:space="preserve"> Develops data models showing cost-effectiveness compared to the standard of care. They leverage HEOR synthesis agents that ingest clinical efficacy metrics, real-world evidence (RWE), and patient-reported outcomes to automatically generate health economic dossiers and budget impact models. The agents run extensive Monte Carlo simulations to test pricing strategies against global reimbursement frameworks, reducing modeling cycle times by 10x and allowing the director to customize value dossiers for multiple payers concurrently.</w:t>
      </w:r>
    </w:p>
    <w:p>
      <w:pPr>
        <w:pStyle w:val="Heading2"/>
      </w:pPr>
      <w:r>
        <w:t>Capital Strategy</w:t>
      </w:r>
    </w:p>
    <w:p>
      <w:pPr>
        <w:pStyle w:val="ListBullet"/>
      </w:pPr>
      <w:r>
        <w:rPr>
          <w:b/>
        </w:rPr>
        <w:t>CFO / Capital Strategy:</w:t>
      </w:r>
      <w:r>
        <w:t xml:space="preserve"> Balances fixed operational costs against highly volatile, site-by-site clinical variables. They implement automated financial forecasting networks. The agents continuously ingest patient recruitment speeds, CMC process validation costs, and variable CRO invoices to execute live Monte Carlo cash burn simulations. By dynamically forecasting runway under various enrollment scenarios and drafting milestone-driven fundraising proposals, the CFO achieves a 10x speedup in capital planning cycles, ensuring proactive, risk-mitigated financial management.</w:t>
      </w:r>
    </w:p>
    <w:p>
      <w:pPr>
        <w:pStyle w:val="Heading1"/>
      </w:pPr>
      <w:r>
        <w:t>4. Decision Support: Technical Mitigation of Human Bias</w:t>
      </w:r>
    </w:p>
    <w:p>
      <w:pPr>
        <w:jc w:val="left"/>
      </w:pPr>
      <w:r>
        <w:t>Cognitive biases systematically distort pharmaceutical R&amp;D decisions, particularly at the critical "Go/No-Go" stage gates where massive capital is committed. A landmark 2022 survey of 92 senior pharmaceutical industry practitioners, published in Nature Reviews Drug Discovery, identified the most prevalent cognitive biases:</w:t>
      </w:r>
    </w:p>
    <w:p>
      <w:pPr>
        <w:pStyle w:val="ListBullet"/>
      </w:pPr>
      <w:r>
        <w:rPr>
          <w:b/>
        </w:rPr>
        <w:t>Confirmation Bias (57% prevalence):</w:t>
      </w:r>
      <w:r>
        <w:t xml:space="preserve"> Designing trials to confirm hypotheses, selecting favorable endpoints, and ignoring contradictory evidence. (https://sdg.com/publications/mitigating-biases-in-pharmaceutical-rd-decision-making)</w:t>
      </w:r>
    </w:p>
    <w:p>
      <w:pPr>
        <w:pStyle w:val="ListBullet"/>
      </w:pPr>
      <w:r>
        <w:rPr>
          <w:b/>
        </w:rPr>
        <w:t>Champion Bias:</w:t>
      </w:r>
      <w:r>
        <w:t xml:space="preserve"> Evaluating a plan or proposal based on the track record of the person presenting it, or overweighing a senior champion's personal view.</w:t>
      </w:r>
    </w:p>
    <w:p>
      <w:pPr>
        <w:pStyle w:val="ListBullet"/>
      </w:pPr>
      <w:r>
        <w:rPr>
          <w:b/>
        </w:rPr>
        <w:t>Sunk-Cost Fallacy:</w:t>
      </w:r>
      <w:r>
        <w:t xml:space="preserve"> Continuing failing clinical programs due to cumulative historical spending. (https://www.drugpatentwatch.com/blog/decision-making-product-portfolios-pharmaceutical-research-development-managing-streams-innovation-highly-regulated-markets)</w:t>
      </w:r>
    </w:p>
    <w:p>
      <w:pPr>
        <w:pStyle w:val="ListBullet"/>
      </w:pPr>
      <w:r>
        <w:rPr>
          <w:b/>
        </w:rPr>
        <w:t>Groupthink &amp; Consensus Bias:</w:t>
      </w:r>
      <w:r>
        <w:t xml:space="preserve"> Governance committees converging on consensus, suppressing critical dissent.</w:t>
      </w:r>
    </w:p>
    <w:p>
      <w:pPr>
        <w:jc w:val="left"/>
      </w:pPr>
      <w:r>
        <w:t>These findings were corroborated by a 2023 follow-up study by Bieske et al. in Drug Discovery Today, which surveyed 92 portfolio managers and uncovered additional systemic biases, including fear to challenge authorities, fear of failure, and fear of risking career. (https://www.alacrita.com/blog/the-hidden-pitfalls-of-unconscious-bias-in-drug-development)</w:t>
      </w:r>
    </w:p>
    <w:p>
      <w:pPr>
        <w:jc w:val="left"/>
      </w:pPr>
      <w:r>
        <w:t>To operationalize mitigations, the AI-native biotech deploys specialized AI agents to act as disinterested, non-incentivized program reviewers. These agents can ingest and synthesize a volume of context that far exceeds human cognitive limits—including thousands of clinical trials, RWE datasets, regulatory precedent guidelines, and safety alerts.</w:t>
      </w:r>
    </w:p>
    <w:p>
      <w:pPr>
        <w:jc w:val="left"/>
      </w:pPr>
      <w:r>
        <w:t>By cross-referencing disparate databases in real time, agents detect hidden, horizontal correlations (such as systemic safety signals across mechanistically unrelated trials, CMC manufacturing anomalies, or shifts in regulatory precedents) that would otherwise remain siloed and invisible to human teams. Furthermore, agents continuously evaluate trial data against precommitted, quantifiable target product profiles (TPPs), alerting teams immediately of deviations rather than waiting for formal stage-gate reviews.</w:t>
      </w:r>
    </w:p>
    <w:p>
      <w:pPr>
        <w:jc w:val="left"/>
      </w:pPr>
      <w:r>
        <w:t>To actively counteract these cognitive biases, the AI-native biotech deploys advanced agentic and multi-agent frameworks:</w:t>
      </w:r>
    </w:p>
    <w:p>
      <w:pPr>
        <w:pStyle w:val="Heading2"/>
      </w:pPr>
      <w:r>
        <w:t>Multi-Agent Debate (MAD)</w:t>
      </w:r>
    </w:p>
    <w:p>
      <w:pPr>
        <w:jc w:val="left"/>
      </w:pPr>
      <w:r>
        <w:t>To overcome Degeneration-of-Thought (DoT)—the machine equivalent of confirmation bias where an isolated model gains confidence in its initial incorrect hypothesis during self-reflection—the organization implements the Multi-Agent Debate (MAD) framework (Liang et al., EMNLP 2024). By orchestrating a structured debate between adversarial agents, overseen by a neutral judge agent, the system forces the consideration of counterfactuals and dissenting evidence, breaking cognitive rigidity. (https://arxiv.org/abs/2305.19118)</w:t>
      </w:r>
    </w:p>
    <w:p>
      <w:pPr>
        <w:pStyle w:val="Heading2"/>
      </w:pPr>
      <w:r>
        <w:t>Sycophancy Mitigation &amp; Productive Disagreement</w:t>
      </w:r>
    </w:p>
    <w:p>
      <w:pPr>
        <w:jc w:val="left"/>
      </w:pPr>
      <w:r>
        <w:t>Multi-agent systems are vulnerable to inter-agent sycophancy, where models prioritize consensus over objective truth, leading to disagreement collapse (groupthink). Research shows that the optimal multi-agent architecture requires a carefully balanced pool of virtual personas (Yao et al., AWS/UW-Madison 2025). The organization intentionally deploys "Troublemaker" agents prompted to maintain independent, adversarial positions and challenge peer assertions, ensuring that critical safety or efficacy gaps are thoroughly interrogated. (https://arxiv.org/abs/2509.23055)</w:t>
      </w:r>
    </w:p>
    <w:p>
      <w:pPr>
        <w:pStyle w:val="Heading2"/>
      </w:pPr>
      <w:r>
        <w:t>CONSENSAGENT</w:t>
      </w:r>
    </w:p>
    <w:p>
      <w:pPr>
        <w:jc w:val="left"/>
      </w:pPr>
      <w:r>
        <w:t>To optimize communication overhead and compute costs during multi-agent debates, the organization deploys the CONSENSAGENT framework (Pitre et al., ACL 2025). This framework models multi-agent deliberation as an optimization task, dynamically refining agent prompts in real-time based on inter-agent exchanges. This actively suppresses sycophancy, enabling the system to reach high-quality, unbiased consensus with significantly fewer debate rounds. (https://doi.org/10.18653/v1/2025.findings-acl.1141)</w:t>
      </w:r>
    </w:p>
    <w:p>
      <w:pPr>
        <w:pStyle w:val="Heading2"/>
      </w:pPr>
      <w:r>
        <w:t>MoLaCE (Mixture of Latent Concept Experts)</w:t>
      </w:r>
    </w:p>
    <w:p>
      <w:pPr>
        <w:jc w:val="left"/>
      </w:pPr>
      <w:r>
        <w:t>To achieve the benefits of debiasing within a single model at a fraction of the compute cost, the organization utilizes MoLaCE (Yao et al., 2024/2025). MoLaCE is a training-free framework that identifies latent conceptual directions within a single LLM's internal representations that correspond to input confirmation bias. It instantiates virtual "experts" by applying varying activation strengths along these latent directions and mixes their predictions at inference time, preventing the agent from simply rubber-stamping an executive's preferred hypothesis. (https://arxiv.org/abs/2412.02324)</w:t>
      </w:r>
    </w:p>
    <w:p>
      <w:pPr>
        <w:pStyle w:val="Heading2"/>
      </w:pPr>
      <w:r>
        <w:t>Trial Pathfinder</w:t>
      </w:r>
    </w:p>
    <w:p>
      <w:pPr>
        <w:jc w:val="left"/>
      </w:pPr>
      <w:r>
        <w:t>To address optimism bias and historical heuristics in trial design, which lead to overly restrictive exclusion criteria and systemic selection bias, the organization deploys Trial Pathfinder (Liu et al., Nature 2021). By analyzing real-world EHR data, Trial Pathfinder systematically simulates trials and optimizes eligibility criteria. When applied to advanced oncology trials, Trial Pathfinder safely doubled the pool of eligible patients, substantially increasing demographic representation while maintaining trial safety and efficacy endpoints. (https://doi.org/10.1038/s41586-021-03430-5)</w:t>
      </w:r>
    </w:p>
    <w:p>
      <w:pPr>
        <w:pStyle w:val="Heading1"/>
      </w:pPr>
      <w:r>
        <w:t>5. Synthetic KOL: Virtual Advisory Panels</w:t>
      </w:r>
    </w:p>
    <w:p>
      <w:pPr>
        <w:jc w:val="left"/>
      </w:pPr>
      <w:r>
        <w:t>Key Opinion Leaders (KOLs) represent the academic and clinical authority that validates a drug's commercial and scientific positioning. Engaging human KOLs is exceptionally slow and expensive, often costing $400 to $600 per hour for in-depth interviews.</w:t>
      </w:r>
    </w:p>
    <w:p>
      <w:pPr>
        <w:jc w:val="left"/>
      </w:pPr>
      <w:r>
        <w:t>The AI-native biotech addresses this bottleneck by translating the publications, patents, clinical trial registries, and public statements of global experts into highly customized, virtual expert personas. This approach rests on a well-established behavioral premise: in real life, prominent scientific experts and academic physicians rarely deviate from their long-established, public beliefs and past intellectual frameworks. They operate within highly consistent, observable patterns.</w:t>
      </w:r>
    </w:p>
    <w:p>
      <w:pPr>
        <w:jc w:val="left"/>
      </w:pPr>
      <w:r>
        <w:t>By using commercial platforms and frameworks calibrated against real-world data, the organization can instantiate virtual expert panels at a fraction of the cost:</w:t>
      </w:r>
    </w:p>
    <w:p>
      <w:pPr>
        <w:pStyle w:val="ListBullet"/>
      </w:pPr>
      <w:r>
        <w:rPr>
          <w:b/>
        </w:rPr>
        <w:t>Commercial Metrics:</w:t>
      </w:r>
      <w:r>
        <w:t xml:space="preserve"> While traditional human focus groups cost $15,000 to $30,000 per session, platforms like Delve AI can generate synthetic panels at a cost of approximately $0.99 to $2.00 per synthetic user. (https://www.delve.ai/blog/synthetic-panels)</w:t>
      </w:r>
    </w:p>
    <w:p>
      <w:pPr>
        <w:pStyle w:val="ListBullet"/>
      </w:pPr>
      <w:r>
        <w:rPr>
          <w:b/>
        </w:rPr>
        <w:t>Velocity of Insight:</w:t>
      </w:r>
      <w:r>
        <w:t xml:space="preserve"> The primary value is not the direct cost savings, but the speed of feedback. Having a representative, synthetic panel of global experts immediately accessible allows the strategy team to stress-test commercial positioning, pre-test scientific messaging, and critique clinical protocols in minutes rather than weeks.</w:t>
      </w:r>
    </w:p>
    <w:p>
      <w:pPr>
        <w:jc w:val="left"/>
      </w:pPr>
      <w:r>
        <w:t>However, deploying synthetic KOL panels introduces critical risks that must be managed.</w:t>
      </w:r>
    </w:p>
    <w:p>
      <w:pPr>
        <w:jc w:val="left"/>
      </w:pPr>
      <w:r>
        <w:t>First, LLMs tend toward consensus, which can suppress highly novel, eccentric, or contrarian insights—what researchers call the "novelty suppression" or "missing 23%" problem, where an LLM hybrid recovered 77% of themes but missed the critical 23% of highly specific, non-obvious human insights. (https://sloanreview.mit.edu/article/gain-consumer-insight-with-generative-ai/)</w:t>
      </w:r>
    </w:p>
    <w:p>
      <w:pPr>
        <w:jc w:val="left"/>
      </w:pPr>
      <w:r>
        <w:t>Second, the organization must avoid the "Researcher as Demiurge" problem, where a researcher who constructs both the synthetic respondent and the AI moderator runs the risk of conducting a conversation with a sophisticated echo of their own assumptions, leading to comforting but incorrect conclusions.</w:t>
      </w:r>
    </w:p>
    <w:p>
      <w:pPr>
        <w:jc w:val="left"/>
      </w:pPr>
      <w:r>
        <w:t xml:space="preserve">To mitigate these risks, the AI-native biotech enforces a strict operational safeguard: </w:t>
      </w:r>
      <w:r>
        <w:rPr>
          <w:b/>
        </w:rPr>
        <w:t>Adversarial Separation</w:t>
      </w:r>
      <w:r>
        <w:t>. The team responsible for designing, prompting, and maintaining the synthetic KOL panel must be entirely independent of the strategic team evaluating the output and making final R&amp;D and portfolio decisions. (https://doi.org/10.1016/j.socscimed.2025.117552)</w:t>
      </w:r>
    </w:p>
    <w:p>
      <w:pPr>
        <w:pStyle w:val="Heading1"/>
      </w:pPr>
      <w:r>
        <w:t>6. Company Brain: Compounding Organizational Intelligence</w:t>
      </w:r>
    </w:p>
    <w:p>
      <w:pPr>
        <w:jc w:val="left"/>
      </w:pPr>
      <w:r>
        <w:t>Y Combinator's Summer 2026 Request for Startups (RFS) explicitly highlights the "Company Brain" as the missing layer between raw corporate data and reliable AI automation. It represents the living, structured map of how a company works, turning fragmented files into executable skills for agents. (https://www.ycombinator.com/rfs)</w:t>
      </w:r>
    </w:p>
    <w:p>
      <w:pPr>
        <w:jc w:val="left"/>
      </w:pPr>
      <w:r>
        <w:t>Most traditional Retrieval-Augmented Generation (RAG) systems retrieve raw chunks of document data dynamically at query time, forcing the LLM to re-evaluate, synthesize, and resolve contradictions from scratch on every single prompt. This approach leads to repetitive computation and no accumulation of structured knowledge.</w:t>
      </w:r>
    </w:p>
    <w:p>
      <w:pPr>
        <w:jc w:val="left"/>
      </w:pPr>
      <w:r>
        <w:t>The AI-native biotech addresses this by implementing Andrej Karpathy's "LLM Wiki" paradigm. Under this paradigm, the LLM Wiki is a persistent, compounding artifact. The LLM agent acts as the programmer, and the knowledge base behaves as the codebase. When a new source is introduced, the LLM compiles and integrates it once, resolving contradictions and updating relevant concept pages, ensuring the knowledge is always structured and pre-compiled. (https://gist.github.com/karpathy/442a6bf555914893e9891c11519de94f)</w:t>
      </w:r>
    </w:p>
    <w:p>
      <w:pPr>
        <w:jc w:val="left"/>
      </w:pPr>
      <w:r>
        <w:t>The operational architecture of the Company Brain consists of three distinct layers:</w:t>
      </w:r>
    </w:p>
    <w:p>
      <w:pPr>
        <w:jc w:val="left"/>
      </w:pPr>
      <w:r>
        <w:t xml:space="preserve">1. </w:t>
      </w:r>
      <w:r>
        <w:rPr>
          <w:b/>
        </w:rPr>
        <w:t>Raw Sources (Immutable):</w:t>
      </w:r>
      <w:r>
        <w:t xml:space="preserve"> The curated raw repository of truth, including scientific papers, clinical protocols, trial registries, and meeting transcripts. The LLM reads from these but never alters them.</w:t>
      </w:r>
    </w:p>
    <w:p>
      <w:pPr>
        <w:jc w:val="left"/>
      </w:pPr>
      <w:r>
        <w:t xml:space="preserve">2. </w:t>
      </w:r>
      <w:r>
        <w:rPr>
          <w:b/>
        </w:rPr>
        <w:t>The Wiki (Persistent Markdown):</w:t>
      </w:r>
      <w:r>
        <w:t xml:space="preserve"> A structured directory of LLM-generated and maintained markdown files, including summaries, concept maps, entity profiles, and comparisons. The LLM entirely owns the write and edit operations of this directory.</w:t>
      </w:r>
    </w:p>
    <w:p>
      <w:pPr>
        <w:jc w:val="left"/>
      </w:pPr>
      <w:r>
        <w:t xml:space="preserve">3. </w:t>
      </w:r>
      <w:r>
        <w:rPr>
          <w:b/>
        </w:rPr>
        <w:t>The Schema (Rules &amp; Metacognition):</w:t>
      </w:r>
      <w:r>
        <w:t xml:space="preserve"> A central configuration file (such as AGENTS.md) defining the boundaries, directory structures, and ingestion standards.</w:t>
      </w:r>
    </w:p>
    <w:p>
      <w:pPr>
        <w:jc w:val="left"/>
      </w:pPr>
      <w:r>
        <w:t>To maintain the Company Brain, the agent executes three core workflows:</w:t>
      </w:r>
    </w:p>
    <w:p>
      <w:pPr>
        <w:pStyle w:val="ListBullet"/>
      </w:pPr>
      <w:r>
        <w:rPr>
          <w:b/>
        </w:rPr>
        <w:t>Ingest:</w:t>
      </w:r>
      <w:r>
        <w:t xml:space="preserve"> Dropping a new raw source triggers the agent to read the source, generate a dedicated summary page, update the main index, and update 10 to 15 related concept or entity pages across the wiki to maintain cross-tool cohesion.</w:t>
      </w:r>
    </w:p>
    <w:p>
      <w:pPr>
        <w:pStyle w:val="ListBullet"/>
      </w:pPr>
      <w:r>
        <w:rPr>
          <w:b/>
        </w:rPr>
        <w:t>Query:</w:t>
      </w:r>
      <w:r>
        <w:t xml:space="preserve"> The agent reads a highly structured index catalog to locate highly relevant pages and synthesize answers with exact citations, eliminating fragile real-time embeddings.</w:t>
      </w:r>
    </w:p>
    <w:p>
      <w:pPr>
        <w:pStyle w:val="ListBullet"/>
      </w:pPr>
      <w:r>
        <w:rPr>
          <w:b/>
        </w:rPr>
        <w:t>Lint:</w:t>
      </w:r>
      <w:r>
        <w:t xml:space="preserve"> The agent executes periodic background audits to flag contradictions between old and new data, identify knowledge gaps, and repair broken cross-references.</w:t>
      </w:r>
    </w:p>
    <w:p>
      <w:pPr>
        <w:jc w:val="left"/>
      </w:pPr>
      <w:r>
        <w:t>This system relies on two critical system files to facilitate scale and navigation:</w:t>
      </w:r>
    </w:p>
    <w:p>
      <w:pPr>
        <w:pStyle w:val="ListBullet"/>
      </w:pPr>
      <w:r>
        <w:rPr>
          <w:b/>
        </w:rPr>
        <w:t>index.md (Content Directory):</w:t>
      </w:r>
      <w:r>
        <w:t xml:space="preserve"> A comprehensive, categorized catalog of all wiki pages containing links and one-line summaries, enabling the agent to map the entire knowledge corpus without needing complex vector database infrastructure.</w:t>
      </w:r>
    </w:p>
    <w:p>
      <w:pPr>
        <w:pStyle w:val="ListBullet"/>
      </w:pPr>
      <w:r>
        <w:rPr>
          <w:b/>
        </w:rPr>
        <w:t>log.md (Chronological Log):</w:t>
      </w:r>
      <w:r>
        <w:t xml:space="preserve"> An append-only, chronologically sorted journal of all operations (e.g., `## [2026-05-21] ingest | Source Title`), allowing terminal tools like grep to quickly track history and current state.</w:t>
      </w:r>
    </w:p>
    <w:p>
      <w:pPr>
        <w:jc w:val="left"/>
      </w:pPr>
      <w:r>
        <w:t>By delegating the manual cost of bookkeeping (updating links, reconciling details, maintaining indexes) to LLM agents, the cost of keeping organizational knowledge current drops to near zero. A smaller, hyper-efficient clinical team operates with total, unified context, capable of querying the Company Brain about any drug candidate or competitive update and receiving a highly synthesized response directly cited to specific meeting memos and trial registries.</w:t>
      </w:r>
    </w:p>
    <w:p>
      <w:pPr>
        <w:pStyle w:val="Heading1"/>
      </w:pPr>
      <w:r>
        <w:t>7. Innovation Arbitrage: Global Asset Sourcing and Licensing Risks</w:t>
      </w:r>
    </w:p>
    <w:p>
      <w:pPr>
        <w:jc w:val="left"/>
      </w:pPr>
      <w:r>
        <w:t xml:space="preserve">In 2025, a fundamental transformation occurred in the global pharmaceutical market: Chinese biotechs underwent a dramatic shift from licensing Western drugs in to licensing Chinese-origin drugs out. In 2025, Chinese companies signed a record </w:t>
      </w:r>
      <w:r>
        <w:rPr>
          <w:b/>
        </w:rPr>
        <w:t>$135.7 billion</w:t>
      </w:r>
      <w:r>
        <w:t xml:space="preserve"> in outbound licensing agreements—representing </w:t>
      </w:r>
      <w:r>
        <w:rPr>
          <w:b/>
        </w:rPr>
        <w:t>one-third of all global licensing spend</w:t>
      </w:r>
      <w:r>
        <w:t>, and making China the world's most important source of licensable drug assets. (https://www.axios.com/2025/09/08/china-deals-biotech-us)</w:t>
      </w:r>
    </w:p>
    <w:p>
      <w:pPr>
        <w:jc w:val="left"/>
      </w:pPr>
      <w:r>
        <w:t xml:space="preserve">This growth is driven by a powerful "Innovation Arbitrage": Chinese drug discovery costs are </w:t>
      </w:r>
      <w:r>
        <w:rPr>
          <w:b/>
        </w:rPr>
        <w:t>30% to 40% lower</w:t>
      </w:r>
      <w:r>
        <w:t xml:space="preserve"> than in the US/EU, while clinical trial enrollment is </w:t>
      </w:r>
      <w:r>
        <w:rPr>
          <w:b/>
        </w:rPr>
        <w:t>2 to 3 times faster</w:t>
      </w:r>
      <w:r>
        <w:t xml:space="preserve"> due to China's massive patient population. This allows Western biotechs to access de-risked, clinical-stage assets at valuations that still represent significant upside versus internal development. (https://visionlifesciences.com/insights/china-biotech-outbound-licensing-tracker)</w:t>
      </w:r>
    </w:p>
    <w:p>
      <w:pPr>
        <w:jc w:val="left"/>
      </w:pPr>
      <w:r>
        <w:t>The landscape is defined by several landmark successes:</w:t>
      </w:r>
    </w:p>
    <w:p>
      <w:pPr>
        <w:pStyle w:val="ListBullet"/>
      </w:pPr>
      <w:r>
        <w:rPr>
          <w:b/>
        </w:rPr>
        <w:t>CARVYKTI (ciltacabtagene autoleucel):</w:t>
      </w:r>
      <w:r>
        <w:t xml:space="preserve"> A Chinese-origin CAR-T cell therapy for multiple myeloma developed by Legend Biotech and licensed to J&amp;J. It became the first Chinese-origin CAR-T to receive FDA approval, generating </w:t>
      </w:r>
      <w:r>
        <w:rPr>
          <w:b/>
        </w:rPr>
        <w:t>$1+ billion</w:t>
      </w:r>
      <w:r>
        <w:t xml:space="preserve"> in revenue in its first full year on the market and validating the global licensing model.</w:t>
      </w:r>
    </w:p>
    <w:p>
      <w:pPr>
        <w:pStyle w:val="ListBullet"/>
      </w:pPr>
      <w:r>
        <w:rPr>
          <w:b/>
        </w:rPr>
        <w:t>Tislelizumab:</w:t>
      </w:r>
      <w:r>
        <w:t xml:space="preserve"> A PD-1 inhibitor developed by BeiGene and licensed to Novartis in a landmark 2021 deal for </w:t>
      </w:r>
      <w:r>
        <w:rPr>
          <w:b/>
        </w:rPr>
        <w:t>$2.2 billion</w:t>
      </w:r>
      <w:r>
        <w:t>, receiving FDA approval in 2023.</w:t>
      </w:r>
    </w:p>
    <w:p>
      <w:pPr>
        <w:pStyle w:val="ListBullet"/>
      </w:pPr>
      <w:r>
        <w:rPr>
          <w:b/>
        </w:rPr>
        <w:t>Ivonescimab (AK112):</w:t>
      </w:r>
      <w:r>
        <w:t xml:space="preserve"> A PD-1/VEGF bispecific antibody developed by Akeso and licensed to Summit Therapeutics in a $5.0 billion deal, showing superior Phase 3 efficacy versus Keytruda.</w:t>
      </w:r>
    </w:p>
    <w:p>
      <w:pPr>
        <w:pStyle w:val="ListBullet"/>
      </w:pPr>
      <w:r>
        <w:rPr>
          <w:b/>
        </w:rPr>
        <w:t>GSK / Hengrui Deal:</w:t>
      </w:r>
      <w:r>
        <w:t xml:space="preserve"> A $12.5 billion outbound licensing deal for Hengrui's HRS-9821 for COPD, reflecting Hengrui's selective, premium pricing strategy. (https://visionlifesciences.com/insights/china-biotech-outbound-licensing-tracker)</w:t>
      </w:r>
    </w:p>
    <w:p>
      <w:pPr>
        <w:jc w:val="left"/>
      </w:pPr>
      <w:r>
        <w:t xml:space="preserve">However, sourcing assets from China introduces a severe historical risk: </w:t>
      </w:r>
      <w:r>
        <w:rPr>
          <w:b/>
        </w:rPr>
        <w:t>Data Integrity</w:t>
      </w:r>
      <w:r>
        <w:t>.</w:t>
      </w:r>
    </w:p>
    <w:p>
      <w:pPr>
        <w:jc w:val="left"/>
      </w:pPr>
      <w:r>
        <w:t xml:space="preserve">In July 2015, the Chinese FDA ordered a self-examination of clinical trial data behind 1,622 drug applications. This resulted in approximately </w:t>
      </w:r>
      <w:r>
        <w:rPr>
          <w:b/>
        </w:rPr>
        <w:t>80% of applications being voluntarily withdrawn</w:t>
      </w:r>
      <w:r>
        <w:t xml:space="preserve"> due to serious quality issues, including data fabrication, GCP non-compliance, and incomplete data. (https://www.bmj.com/content/355/bmj.i5396) This shadow side was highlighted historically by the 2007 execution of SFDA head Zheng Xiaoyu for accepting bribes to approve untested medicines. (https://www.pharmaceutical-technology.com/features/featuretackling-false-trial-data-in-china-5691656)</w:t>
      </w:r>
    </w:p>
    <w:p>
      <w:pPr>
        <w:jc w:val="left"/>
      </w:pPr>
      <w:r>
        <w:t>While China's clinical trial quality has improved dramatically since 2015—driven by China's 2017 ICH membership, NMPA modernization, and partnerships with global CROs (IQVIA, Parexel)—ongoing data integrity concerns remain a real risk, as highlighted by the FDA's 2025 General Correspondence Letters to two Chinese testing firms. (https://www.fda.gov/news-events/press-announcements/fda-takes-action-address-data-integrity-concerns-two-chinese-third-party-testing-firms)</w:t>
      </w:r>
    </w:p>
    <w:p>
      <w:pPr>
        <w:jc w:val="left"/>
      </w:pPr>
      <w:r>
        <w:t>To navigate this landscape, the AI-native biotech must avoid five critical contractual traps identified by Morgan Lewis (April 2026):</w:t>
      </w:r>
    </w:p>
    <w:p>
      <w:pPr>
        <w:jc w:val="left"/>
      </w:pPr>
      <w:r>
        <w:t xml:space="preserve">1. </w:t>
      </w:r>
      <w:r>
        <w:rPr>
          <w:b/>
        </w:rPr>
        <w:t>Toothless Anti-Shelving Clauses:</w:t>
      </w:r>
      <w:r>
        <w:t xml:space="preserve"> MNCs often prioritize competing internal pipelines. Innovators must demand specific, measurable development milestones and hard deadlines rather than relying on vague Commercially Reasonable Efforts (CRE) clauses. (https://www.morganlewis.com/pubs/2026/04/a-strategic-playbook-for-chinese-biotech-cross-border-deals-navigating-the-new-value-paradigm)</w:t>
      </w:r>
    </w:p>
    <w:p>
      <w:pPr>
        <w:jc w:val="left"/>
      </w:pPr>
      <w:r>
        <w:t xml:space="preserve">2. </w:t>
      </w:r>
      <w:r>
        <w:rPr>
          <w:b/>
        </w:rPr>
        <w:t>Change-of-Control Vulnerabilities:</w:t>
      </w:r>
      <w:r>
        <w:t xml:space="preserve"> If the licensee is acquired by a competitor of the Chinese innovator, the asset's future is jeopardized. Contracts must explicitly dictate how licenses and data rights are handled.</w:t>
      </w:r>
    </w:p>
    <w:p>
      <w:pPr>
        <w:jc w:val="left"/>
      </w:pPr>
      <w:r>
        <w:t xml:space="preserve">3. </w:t>
      </w:r>
      <w:r>
        <w:rPr>
          <w:b/>
        </w:rPr>
        <w:t>Disappearing Milestones:</w:t>
      </w:r>
      <w:r>
        <w:t xml:space="preserve"> Licensees may attempt to restructure clinical development plans post-closing to technically bypass conditions that trigger milestone payments. Precise definitions of triggering events are essential.</w:t>
      </w:r>
    </w:p>
    <w:p>
      <w:pPr>
        <w:jc w:val="left"/>
      </w:pPr>
      <w:r>
        <w:t xml:space="preserve">4. </w:t>
      </w:r>
      <w:r>
        <w:rPr>
          <w:b/>
        </w:rPr>
        <w:t>Ambiguous Data Rights:</w:t>
      </w:r>
      <w:r>
        <w:t xml:space="preserve"> Clashes over the ownership of clinical data are common. Innovators must ensure they retain sufficient rights to leverage global trial data to support domestic regulatory filings.</w:t>
      </w:r>
    </w:p>
    <w:p>
      <w:pPr>
        <w:jc w:val="left"/>
      </w:pPr>
      <w:r>
        <w:t xml:space="preserve">5. </w:t>
      </w:r>
      <w:r>
        <w:rPr>
          <w:b/>
        </w:rPr>
        <w:t>Data Integrity and Compliance:</w:t>
      </w:r>
      <w:r>
        <w:t xml:space="preserve"> MNCs demand rigorous validation that Chinese clinical data meets FDA/EMA standards, requiring absolute compliance with China's cross-border data transfer regulations and clear ownership of AI training data.</w:t>
      </w:r>
    </w:p>
    <w:p>
      <w:pPr>
        <w:jc w:val="left"/>
      </w:pPr>
      <w:r>
        <w:t xml:space="preserve">To optimize focus and speed, sophisticated developers increasingly utilize the </w:t>
      </w:r>
      <w:r>
        <w:rPr>
          <w:b/>
        </w:rPr>
        <w:t>NewCo Licensing Model</w:t>
      </w:r>
      <w:r>
        <w:t>, partnering with VC-backed NewCos (e.g., Hengrui's $1.1B deal with Braveheart Bio for cardiomyopathy drug HRS-1893) to capture higher economics, faster decision-making, and a built-to-buy endgame. (https://visionlifesciences.com/insights/china-biotech-outbound-licensing-tracker)</w:t>
      </w:r>
    </w:p>
    <w:p>
      <w:pPr>
        <w:pStyle w:val="Heading1"/>
      </w:pPr>
      <w:r>
        <w:t>8. Final Thought</w:t>
      </w:r>
    </w:p>
    <w:p>
      <w:pPr>
        <w:jc w:val="left"/>
      </w:pPr>
      <w:r>
        <w:t>AI-native biotechnology represents a fundamental shift in how therapeutics are brought to market. While computational machine learning has successfully solved the upstream math of molecular design, the primary bottleneck of drug development remains clinical trial execution.</w:t>
      </w:r>
    </w:p>
    <w:p>
      <w:pPr>
        <w:jc w:val="left"/>
      </w:pPr>
      <w:r>
        <w:t>By deploying networks of autonomous, goal-directed AI agents to augment pivotal clinical roles, utilizing advanced multi-agent architectures to systematically mitigate cognitive bias, and structuring corporate knowledge as a compounding Company Brain codebase, a lean, AI-native team can execute massive Phase 2 and Phase 3 trials with 10x the speed, precision, and capital efficiency of traditional pharmaceutical giants.</w:t>
      </w:r>
    </w:p>
    <w:p>
      <w:pPr>
        <w:jc w:val="left"/>
      </w:pPr>
      <w:r>
        <w:t>For the modern biotechnology operator, transitioning to an AI-native operational model is no longer a technological option; it is the ultimate strategic imperative.</w:t>
      </w:r>
    </w:p>
    <w:p>
      <w:pPr>
        <w:jc w:val="left"/>
      </w:pPr>
      <w:r>
        <w:t>This memo was prepared using primary research on clinical multi-agent architectures, pharmaceutical R&amp;D cognitive bias surveys, synthetic panel commercial frameworks, and cross-border licensing data as of May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jc w:val="left"/>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