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AI-Native Biotech: Building the Next Generational Global AI Company</w:t>
      </w:r>
    </w:p>
    <w:p>
      <w:pPr>
        <w:jc w:val="left"/>
      </w:pPr>
      <w:r>
        <w:rPr>
          <w:b/>
        </w:rPr>
        <w:t>Author:</w:t>
      </w:r>
      <w:r>
        <w:t xml:space="preserve"> Tiger Huang, PLACEHOLDER, PLACEHOLDER, PLACEHOLDER</w:t>
      </w:r>
    </w:p>
    <w:p>
      <w:pPr>
        <w:jc w:val="left"/>
      </w:pPr>
      <w:r>
        <w:rPr>
          <w:b/>
        </w:rPr>
        <w:t>Date:</w:t>
      </w:r>
      <w:r>
        <w:t xml:space="preserve"> May 2026</w:t>
      </w:r>
    </w:p>
    <w:p>
      <w:pPr>
        <w:jc w:val="left"/>
      </w:pPr>
      <w:r>
        <w:rPr>
          <w:b/>
        </w:rPr>
        <w:t>Classification:</w:t>
      </w:r>
      <w:r>
        <w:t xml:space="preserve"> AI-Native Biotech Strategy</w:t>
      </w:r>
    </w:p>
    <w:p>
      <w:pPr>
        <w:jc w:val="left"/>
      </w:pPr>
      <w:r>
        <w:rPr>
          <w:b/>
        </w:rPr>
        <w:t>Audience:</w:t>
      </w:r>
      <w:r>
        <w:t xml:space="preserve"> Biotechnology Executives, AI Executives, Investors</w:t>
      </w:r>
    </w:p>
    <w:p>
      <w:pPr>
        <w:pStyle w:val="Heading2"/>
      </w:pPr>
      <w:r>
        <w:t>Executive Summary</w:t>
      </w:r>
    </w:p>
    <w:p>
      <w:pPr>
        <w:jc w:val="left"/>
      </w:pPr>
      <w:r>
        <w:t xml:space="preserve">This memo defines the strategic framework of the true </w:t>
      </w:r>
      <w:r>
        <w:rPr>
          <w:b/>
        </w:rPr>
        <w:t>AI-native biotech</w:t>
      </w:r>
      <w:r>
        <w:t>—a lean, hyper-agile organization that goes beyond early-stage target math to re-engineer the entire operational biology of the company AI-first and from scratch. In an AI-native biotech, every employee is augmented by a network of goal-directed, autonomous AI agents acting as digital teammates to orchestrate trial protocols, parse patient records, automate regulatory submissions, and eliminate manual "white space" under human-in-the-loop oversight. By replacing legacy administrative handoffs with continuous agentic workflows, an AI-native biotech achieves a 10x operational productivity leap, enables leadership to make high-quality strategic decisions faster, and mitigates critical protocol compliance risks. Crucially, this operational acceleration allows the organization to identify, due diligence, and execute high-value licensing deals with unprecedented agility while systematically avoiding the costly operational and strategic missteps that account for 30% to 50% of drug candidate attrition in traditional, legacy biopharma.</w:t>
      </w:r>
    </w:p>
    <w:p>
      <w:pPr>
        <w:jc w:val="left"/>
      </w:pPr>
      <w:r>
        <w:t>Importantly, this compounding operational leverage has immediate, high-leverage applications in global asset sourcing and cross-border licensing. In the wake of the massive Chinese outbound licensing boom (representing a record $135.7 billion in 2025), a three-person AI-native operational team can utilize a compounding Company Brain and screening agents to continuously crawl clinical registries, conduct rigorous data-integrity diligence, and license high-quality, de-risked clinical assets with 10x greater agility than bloated traditional conglomerates.</w:t>
      </w:r>
    </w:p>
    <w:p>
      <w:pPr>
        <w:jc w:val="left"/>
      </w:pPr>
      <w:r>
        <w:t>Ultimately, this paradigm shift represents a once-in-a-lifetime opportunity to build a generational $100 billion to $1 trillion biopharma company. By operating with just 10% of the tier-1 human labor footprint of traditional biopharma and commanding a highly orchestrated swarm of autonomous agents, the AI-native biotech is positioned to run circles around slow-moving legacy organizations and capture unprecedented global market share.</w:t>
      </w:r>
    </w:p>
    <w:p>
      <w:pPr>
        <w:pStyle w:val="Heading2"/>
      </w:pPr>
      <w:r>
        <w:t>1. Defining the AI-Native Biotech</w:t>
      </w:r>
    </w:p>
    <w:p>
      <w:pPr>
        <w:jc w:val="left"/>
      </w:pPr>
      <w:r>
        <w:t>The fundamental goal of the AI-native biotech is to design and build operational processes AI-first and from scratch, rather than attempting to retroactively shoehorn artificial intelligence into legacy clinical frameworks. By re-engineering the company's operational biology, a lean organization staffed by a small team of A-player operators augmented by autonomous agentic systems can achieve a 10x operational productivity leap. While established biopharma conglomerates will undoubtedly maintain their massive capital scale, the AI-native biotech counteracts this advantage with 10x greater operational agility, effectiveness, and execution efficiency—running circles around slow-moving legacy organizations.</w:t>
      </w:r>
    </w:p>
    <w:p>
      <w:pPr>
        <w:jc w:val="left"/>
      </w:pPr>
      <w:r>
        <w:t>While the concept of the AI-native biotechnology company has gained rapid traction across academic research and peer-reviewed literature, it has yet to see major, public traction in the broader commercial industry. Most established biopharma companies remain anchored to legacy enterprise software and manual operating models, leaving a massive strategic vacuum for early adopters. A growing consensus of literature highlights the unique capabilities of goal-directed, autonomous clinical agents to coordinate complex clinical trials and automate operations. By synthesizing peer-reviewed frameworks and real-world operational benchmarks, we can establish the formal foundations of this paradigm shift.</w:t>
      </w:r>
    </w:p>
    <w:p>
      <w:pPr>
        <w:jc w:val="left"/>
      </w:pPr>
      <w:r>
        <w:t>At its core, an AI-native biotech is defined by the operational integration of networks of goal-directed, autonomous AI agents acting as digital teammates across the entire drug development lifecycle. Unlike legacy developers, business operations here are designed AI-first: workflows are built to enable agents to proactively orchestrate tasks, parse unstructured patient records, reason through clinical protocols, and draft GxP-compliant regulatory filings under human oversight.</w:t>
      </w:r>
    </w:p>
    <w:p>
      <w:pPr>
        <w:jc w:val="left"/>
      </w:pPr>
      <w:r>
        <w:t>This approach is fundamentally distinct from traditional machine learning (ML) platforms that currently dominate upstream drug discovery. While traditional ML excels at predicting target binding affinities or optimizing molecular structures, these static, isolated models do not reason or address downstream clinical execution. The AI-native biotech picks up where upstream discovery ends, leveraging agentic systems to solve the downstream trial bottlenecks that govern whether a therapeutic asset actually reaches a patient.</w:t>
      </w:r>
    </w:p>
    <w:p>
      <w:pPr>
        <w:pStyle w:val="Heading3"/>
      </w:pPr>
      <w:r>
        <w:t>Research 1: ClinicalAgent — Outcomes and Timeline Prediction</w:t>
      </w:r>
    </w:p>
    <w:p>
      <w:pPr>
        <w:pStyle w:val="Quote"/>
      </w:pPr>
      <w:r>
        <w:rPr>
          <w:b/>
          <w:i/>
        </w:rPr>
        <w:t>Profile:</w:t>
      </w:r>
      <w:r>
        <w:rPr>
          <w:i/>
        </w:rPr>
        <w:t xml:space="preserve"> A multi-agent framework utilizing GPT-4 with Reasoning and Acting (ReAct) and Least-to-Most prompting structures to function as a virtual clinical team.</w:t>
      </w:r>
    </w:p>
    <w:p>
      <w:pPr>
        <w:jc w:val="left"/>
      </w:pPr>
      <w:r>
        <w:t xml:space="preserve">Developed by Yue et al. (2024), </w:t>
      </w:r>
      <w:r>
        <w:rPr>
          <w:b/>
        </w:rPr>
        <w:t>ClinicalAgent</w:t>
      </w:r>
      <w:r>
        <w:t xml:space="preserve"> integrates patient data and historical trial metrics. It improved trial outcome and failure prediction by 0.33 AUC over baseline prompting methods, while dynamically predicting enrollment timelines and highlighting potential bottlenecks. (https://arxiv.org/abs/2404.14777)</w:t>
      </w:r>
    </w:p>
    <w:p>
      <w:pPr>
        <w:pStyle w:val="Heading3"/>
      </w:pPr>
      <w:r>
        <w:t>Research 2: MAKAR — Eligibility Matching</w:t>
      </w:r>
    </w:p>
    <w:p>
      <w:pPr>
        <w:pStyle w:val="Quote"/>
      </w:pPr>
      <w:r>
        <w:rPr>
          <w:b/>
          <w:i/>
        </w:rPr>
        <w:t>Profile:</w:t>
      </w:r>
      <w:r>
        <w:rPr>
          <w:i/>
        </w:rPr>
        <w:t xml:space="preserve"> A double-module multi-agent system designed to automate patient-trial eligibility matching with strict data privacy guarantees.</w:t>
      </w:r>
    </w:p>
    <w:p>
      <w:pPr>
        <w:jc w:val="left"/>
      </w:pPr>
      <w:r>
        <w:t xml:space="preserve">Developed by Shi et al. (2024), </w:t>
      </w:r>
      <w:r>
        <w:rPr>
          <w:b/>
        </w:rPr>
        <w:t>MAKAR</w:t>
      </w:r>
      <w:r>
        <w:t xml:space="preserve"> utilizes an Augmentation Module to translate ambiguous inclusion/exclusion criteria into clear clinical concepts, and a Reasoning Module with Collaborator, Critique, and Navigator agents to match patient charts. It achieved an average F1-score improvement of 7% to 8% across clinical datasets and reached 100% accuracy in controlled matching tasks, executing locally to ensure patient data privacy. (https://arxiv.org/abs/2411.14637)</w:t>
      </w:r>
    </w:p>
    <w:p>
      <w:pPr>
        <w:pStyle w:val="Heading3"/>
      </w:pPr>
      <w:r>
        <w:t>Research 3: BioXconomy CRA Analysis — Risk-Based Monitoring</w:t>
      </w:r>
    </w:p>
    <w:p>
      <w:pPr>
        <w:pStyle w:val="Quote"/>
      </w:pPr>
      <w:r>
        <w:rPr>
          <w:b/>
          <w:i/>
        </w:rPr>
        <w:t>Profile:</w:t>
      </w:r>
      <w:r>
        <w:rPr>
          <w:i/>
        </w:rPr>
        <w:t xml:space="preserve"> An industry analysis demonstrating the efficiency of risk-based monitoring agents in handling routine verification and reporting.</w:t>
      </w:r>
    </w:p>
    <w:p>
      <w:pPr>
        <w:jc w:val="left"/>
      </w:pPr>
      <w:r>
        <w:t xml:space="preserve">The </w:t>
      </w:r>
      <w:r>
        <w:rPr>
          <w:b/>
        </w:rPr>
        <w:t>BioXconomy CRA Analysis</w:t>
      </w:r>
      <w:r>
        <w:t xml:space="preserve"> demonstrates that risk-based monitoring agents handle 80% of routine verification, site messaging, and monitoring report generation. This shifts human CRAs from travel-heavy administrative auditing to high-value medical oversight. (https://www.bioxconomy.com/clinical-and-research/how-ai-agents-are-transforming-the-clinical-trial-process-for-cras)</w:t>
      </w:r>
    </w:p>
    <w:p>
      <w:pPr>
        <w:pStyle w:val="Heading3"/>
      </w:pPr>
      <w:r>
        <w:t>Research 4: Human Oversight Dynamics</w:t>
      </w:r>
    </w:p>
    <w:p>
      <w:pPr>
        <w:pStyle w:val="Quote"/>
      </w:pPr>
      <w:r>
        <w:rPr>
          <w:b/>
          <w:i/>
        </w:rPr>
        <w:t>Definition:</w:t>
      </w:r>
      <w:r>
        <w:rPr>
          <w:i/>
        </w:rPr>
        <w:t xml:space="preserve"> A structured operational framework governing the interaction between human clinical staff and autonomous AI agents to ensure safety and system stability.</w:t>
      </w:r>
    </w:p>
    <w:p>
      <w:pPr>
        <w:jc w:val="left"/>
      </w:pPr>
      <w:r>
        <w:t>While these tools represent massive technical advancements, their successful deployment requires a rigorous sociotechnical framework. As highlighted in a 2026 publication in JMIR AI, clinical deployment is not a purely technical matching challenge. Instead, organizations must explicitly configure oversight intensity, override authority, explanation timing, and escalation logic to prevent workflow disruption and ensure patient safety. (https://doi.org/10.2196/95899)</w:t>
      </w:r>
    </w:p>
    <w:p>
      <w:pPr>
        <w:pStyle w:val="Heading2"/>
      </w:pPr>
      <w:r>
        <w:t>2. 360 Degrees AI Adoption</w:t>
      </w:r>
    </w:p>
    <w:p>
      <w:pPr>
        <w:jc w:val="left"/>
      </w:pPr>
      <w:r>
        <w:t>In an AI-native biotech, agent integration is ubiquitous. Everyone—from the Chief Medical Officer to the clinical quality manager—works with and through autonomous AI agents.</w:t>
      </w:r>
    </w:p>
    <w:p>
      <w:pPr>
        <w:jc w:val="left"/>
      </w:pPr>
      <w:r>
        <w:t xml:space="preserve">To achieve this state in the current market, organizations must navigate a practical reality: clinical and business teams must rely on developer-centric tools like </w:t>
      </w:r>
      <w:r>
        <w:rPr>
          <w:b/>
        </w:rPr>
        <w:t>OpenCode</w:t>
      </w:r>
      <w:r>
        <w:t xml:space="preserve"> or the </w:t>
      </w:r>
      <w:r>
        <w:rPr>
          <w:b/>
        </w:rPr>
        <w:t>Hermes Agent</w:t>
      </w:r>
      <w:r>
        <w:t xml:space="preserve"> core. While these reasoning-dense frameworks can initially feel unfamiliar or awkward to clinical operators used to legacy enterprise software, they represent the most mature, high-reasoning agent cores available in the market today. Rather than waiting for polished, proprietary enterprise software, the AI-native biotech embraces this initial friction to secure an immediate, structural head start, while actively building business-friendly, model-agnostic, and open-source equivalents.</w:t>
      </w:r>
    </w:p>
    <w:p>
      <w:pPr>
        <w:jc w:val="left"/>
      </w:pPr>
      <w:r>
        <w:t xml:space="preserve">To maintain operational sovereignty and manage cost, the AI-native biotech operates under four core strategic imperatives. First, it must deploy a </w:t>
      </w:r>
      <w:r>
        <w:rPr>
          <w:b/>
        </w:rPr>
        <w:t>model-agnostic infrastructure</w:t>
      </w:r>
      <w:r>
        <w:t xml:space="preserve"> using a flexible orchestration layer to decouple the model layer from core workflows, maintaining absolute flexibility to swap providers as capabilities evolve. Second, it must practice </w:t>
      </w:r>
      <w:r>
        <w:rPr>
          <w:b/>
        </w:rPr>
        <w:t>active token cost management</w:t>
      </w:r>
      <w:r>
        <w:t xml:space="preserve"> by routing simple data-mapping tasks to cost-effective local models and reserving frontier API models for complex reasoning. Third, it must mandate an </w:t>
      </w:r>
      <w:r>
        <w:rPr>
          <w:b/>
        </w:rPr>
        <w:t>open architecture</w:t>
      </w:r>
      <w:r>
        <w:t xml:space="preserve"> that preserves clean boundaries between models and applications to resist vendor lock-in. Finally, it must initialize </w:t>
      </w:r>
      <w:r>
        <w:rPr>
          <w:b/>
        </w:rPr>
        <w:t>agent-friendly markdown workflows</w:t>
      </w:r>
      <w:r>
        <w:t>, minimizing PowerPoint in favor of structured Markdown to enable seamless agentic ingestion and reasoning.</w:t>
      </w:r>
    </w:p>
    <w:p>
      <w:pPr>
        <w:jc w:val="left"/>
      </w:pPr>
      <w:r>
        <w:t>Achieving a complete, 360-degree adoption of AI requires integrating these digital teammates across every critical function, particularly as the company's gravity shifts from upstream target discovery to downstream clinical execution. Below, we outline how key clinical development roles adopt goal-directed, autonomous agents to drive this operational reality across every major organizational domain—compressing timelines, eliminating administrative friction, and securing 10x operational leverage:</w:t>
      </w:r>
    </w:p>
    <w:p>
      <w:pPr>
        <w:pStyle w:val="Heading3"/>
      </w:pPr>
      <w:r>
        <w:t>Domain 1: Clinical Development &amp; Biometrics</w:t>
      </w:r>
    </w:p>
    <w:p>
      <w:pPr>
        <w:pStyle w:val="Heading3"/>
      </w:pPr>
      <w:r>
        <w:t>Role 1: The Chief Medical Officer — Protocol Orchestration</w:t>
      </w:r>
    </w:p>
    <w:p>
      <w:pPr>
        <w:pStyle w:val="Quote"/>
      </w:pPr>
      <w:r>
        <w:rPr>
          <w:b/>
          <w:i/>
        </w:rPr>
        <w:t>Profile:</w:t>
      </w:r>
      <w:r>
        <w:rPr>
          <w:i/>
        </w:rPr>
        <w:t xml:space="preserve"> Senior clinical strategist responsible for trial design and protocol development, augmented by multi-agent swarms to automate compliant designs.</w:t>
      </w:r>
    </w:p>
    <w:p>
      <w:pPr>
        <w:jc w:val="left"/>
      </w:pPr>
      <w:r>
        <w:t xml:space="preserve">The </w:t>
      </w:r>
      <w:r>
        <w:rPr>
          <w:b/>
        </w:rPr>
        <w:t>Chief Medical Officer (CMO)</w:t>
      </w:r>
      <w:r>
        <w:t xml:space="preserve"> leverages clinical multi-agent swarms to automate ICH M11-compliant protocol design. Specialized Protocol Design, Protocol Burden, and Protocol Auditor agents check representativeness, evaluate patient burden, and audit designs against regulatory guidelines. This compresses protocol drafting timelines from 6–9 months to under 2 weeks—a 10x productivity leap—while lowering downstream protocol amendments by up to 80%.</w:t>
      </w:r>
    </w:p>
    <w:p>
      <w:pPr>
        <w:pStyle w:val="Heading3"/>
      </w:pPr>
      <w:r>
        <w:t>Role 2: The Lead Biostatistician — Analytical Programming</w:t>
      </w:r>
    </w:p>
    <w:p>
      <w:pPr>
        <w:pStyle w:val="Quote"/>
      </w:pPr>
      <w:r>
        <w:rPr>
          <w:b/>
          <w:i/>
        </w:rPr>
        <w:t>Profile:</w:t>
      </w:r>
      <w:r>
        <w:rPr>
          <w:i/>
        </w:rPr>
        <w:t xml:space="preserve"> Quantitative expert responsible for statistical powering and trial data analysis, utilizing automated double-programming pipelines.</w:t>
      </w:r>
    </w:p>
    <w:p>
      <w:pPr>
        <w:jc w:val="left"/>
      </w:pPr>
      <w:r>
        <w:t xml:space="preserve">The </w:t>
      </w:r>
      <w:r>
        <w:rPr>
          <w:b/>
        </w:rPr>
        <w:t>Lead Biostatistician</w:t>
      </w:r>
      <w:r>
        <w:t xml:space="preserve"> deploys multi-agent biostatistics programming pipelines. An autonomous SAP Architect Agent ingests raw EDC schemas to draft the statistical analysis plan (SAP), while parallel Code Generator and Audit agents automatically write GxP-compliant SAS/R scripts. The agents perform independent double-programming to mathematically verify results, completely eliminating manual coding backlogs and accelerating Table, Listing, and Figure (TLF) generation by 10x.</w:t>
      </w:r>
    </w:p>
    <w:p>
      <w:pPr>
        <w:pStyle w:val="Heading3"/>
      </w:pPr>
      <w:r>
        <w:t>Domain 2: Clinical Operations (ClinOps)</w:t>
      </w:r>
    </w:p>
    <w:p>
      <w:pPr>
        <w:pStyle w:val="Heading3"/>
      </w:pPr>
      <w:r>
        <w:t>Role 3: The Head of Clinical Operations — Trial Orchestration</w:t>
      </w:r>
    </w:p>
    <w:p>
      <w:pPr>
        <w:pStyle w:val="Quote"/>
      </w:pPr>
      <w:r>
        <w:rPr>
          <w:b/>
          <w:i/>
        </w:rPr>
        <w:t>Profile:</w:t>
      </w:r>
      <w:r>
        <w:rPr>
          <w:i/>
        </w:rPr>
        <w:t xml:space="preserve"> Operational leader managing global clinical trial sites, enrollment, and variable costs via agentic CTMS integrations.</w:t>
      </w:r>
    </w:p>
    <w:p>
      <w:pPr>
        <w:jc w:val="left"/>
      </w:pPr>
      <w:r>
        <w:t xml:space="preserve">The </w:t>
      </w:r>
      <w:r>
        <w:rPr>
          <w:b/>
        </w:rPr>
        <w:t>Head of Clinical Operations</w:t>
      </w:r>
      <w:r>
        <w:t xml:space="preserve"> deploys autonomous ClinOps agents integrated directly with the Electronic Data Capture (EDC) and Clinical Trial Management System (CTMS). Using ReAct-based multi-agent frameworks (such as ClinicalAgent), the agents dynamically track global enrollment velocities and predict trial duration. Operational bottlenecks and protocol compliance risks are flagged before they cause multi-week delays, allowing the director to oversee 10x more sites and patients per FTE.</w:t>
      </w:r>
    </w:p>
    <w:p>
      <w:pPr>
        <w:pStyle w:val="Heading3"/>
      </w:pPr>
      <w:r>
        <w:t>Role 4: The CRO Management Lead — Vendor Governance</w:t>
      </w:r>
    </w:p>
    <w:p>
      <w:pPr>
        <w:pStyle w:val="Quote"/>
      </w:pPr>
      <w:r>
        <w:rPr>
          <w:b/>
          <w:i/>
        </w:rPr>
        <w:t>Profile:</w:t>
      </w:r>
      <w:r>
        <w:rPr>
          <w:i/>
        </w:rPr>
        <w:t xml:space="preserve"> Vendor manager governing Contract Research Organizations and monitoring budgets through autonomous billing audit agents.</w:t>
      </w:r>
    </w:p>
    <w:p>
      <w:pPr>
        <w:jc w:val="left"/>
      </w:pPr>
      <w:r>
        <w:t xml:space="preserve">The </w:t>
      </w:r>
      <w:r>
        <w:rPr>
          <w:b/>
        </w:rPr>
        <w:t>CRO Management Lead</w:t>
      </w:r>
      <w:r>
        <w:t xml:space="preserve"> employs autonomous contract and billing audit agents. The agents continuously ingest weekly CRO status updates, matching them against patient records and CTMS logs to verify clinical milestones. Discrepancies, delayed data entry, or billing anomalies are flagged automatically, reducing manual verification by 10x and enabling a single lead to govern multiple global CRO vendors simultaneously with zero administrative overhead.</w:t>
      </w:r>
    </w:p>
    <w:p>
      <w:pPr>
        <w:pStyle w:val="Heading3"/>
      </w:pPr>
      <w:r>
        <w:t>Domain 3: CMC &amp; Supply Chain</w:t>
      </w:r>
    </w:p>
    <w:p>
      <w:pPr>
        <w:pStyle w:val="Heading3"/>
      </w:pPr>
      <w:r>
        <w:t>Role 5: The VP of CMC — Manufacturing Dossier Assembly</w:t>
      </w:r>
    </w:p>
    <w:p>
      <w:pPr>
        <w:pStyle w:val="Quote"/>
      </w:pPr>
      <w:r>
        <w:rPr>
          <w:b/>
          <w:i/>
        </w:rPr>
        <w:t>Profile:</w:t>
      </w:r>
      <w:r>
        <w:rPr>
          <w:i/>
        </w:rPr>
        <w:t xml:space="preserve"> Chemistry, Manufacturing, and Controls leader scaling batch production to GMP standards, augmented by real-time sensor audit agents.</w:t>
      </w:r>
    </w:p>
    <w:p>
      <w:pPr>
        <w:jc w:val="left"/>
      </w:pPr>
      <w:r>
        <w:t xml:space="preserve">The </w:t>
      </w:r>
      <w:r>
        <w:rPr>
          <w:b/>
        </w:rPr>
        <w:t>VP of CMC</w:t>
      </w:r>
      <w:r>
        <w:t xml:space="preserve"> deploys CMC monitoring agents that ingest real-time Process Analytical Technology (PAT) sensor data and manufacturing run records. The agents automatically analyze stability profiles, identify chemical purity deviations, and draft Module 3 (Quality) of the Common Technical Document (CTD). By automating 90% of data extraction during tech transfer, the agent compiles compliance dossiers 10x faster with zero transcription errors.</w:t>
      </w:r>
    </w:p>
    <w:p>
      <w:pPr>
        <w:pStyle w:val="Heading3"/>
      </w:pPr>
      <w:r>
        <w:t>Role 6: The Clinical Supply Chain Manager — Inventory Simulation</w:t>
      </w:r>
    </w:p>
    <w:p>
      <w:pPr>
        <w:pStyle w:val="Quote"/>
      </w:pPr>
      <w:r>
        <w:rPr>
          <w:b/>
          <w:i/>
        </w:rPr>
        <w:t>Profile:</w:t>
      </w:r>
      <w:r>
        <w:rPr>
          <w:i/>
        </w:rPr>
        <w:t xml:space="preserve"> Logistics manager ensuring uninterrupted global clinical supply chain operations using demand-supply simulation agents.</w:t>
      </w:r>
    </w:p>
    <w:p>
      <w:pPr>
        <w:jc w:val="left"/>
      </w:pPr>
      <w:r>
        <w:t xml:space="preserve">The </w:t>
      </w:r>
      <w:r>
        <w:rPr>
          <w:b/>
        </w:rPr>
        <w:t>Clinical Supply Chain Manager</w:t>
      </w:r>
      <w:r>
        <w:t xml:space="preserve"> utilizes intelligent inventory planning agents connected to the Interactive Response Technology (IRT/RTSM). The agents run real-time demand-supply simulations, analyzing enrollment rates, shipping durations, and cold-chain temperature logs. Replenishment orders are dynamically calculated and queued to prevent patient stockouts while reducing drug waste by over 50%, resulting in a 10x planning efficiency gain.</w:t>
      </w:r>
    </w:p>
    <w:p>
      <w:pPr>
        <w:pStyle w:val="Heading3"/>
      </w:pPr>
      <w:r>
        <w:t>Domain 4: Regulatory Affairs &amp; Quality Assurance (QA/QC)</w:t>
      </w:r>
    </w:p>
    <w:p>
      <w:pPr>
        <w:pStyle w:val="Heading3"/>
      </w:pPr>
      <w:r>
        <w:t>Role 7: The VP of Regulatory Affairs — Submission Swarm Orchestration</w:t>
      </w:r>
    </w:p>
    <w:p>
      <w:pPr>
        <w:pStyle w:val="Quote"/>
      </w:pPr>
      <w:r>
        <w:rPr>
          <w:b/>
          <w:i/>
        </w:rPr>
        <w:t>Profile:</w:t>
      </w:r>
      <w:r>
        <w:rPr>
          <w:i/>
        </w:rPr>
        <w:t xml:space="preserve"> Regulatory lead driving the NDA/BLA dossier assembly via automated multi-agent drafting and auditing swarms.</w:t>
      </w:r>
    </w:p>
    <w:p>
      <w:pPr>
        <w:jc w:val="left"/>
      </w:pPr>
      <w:r>
        <w:t xml:space="preserve">The </w:t>
      </w:r>
      <w:r>
        <w:rPr>
          <w:b/>
        </w:rPr>
        <w:t>VP of Regulatory Affairs</w:t>
      </w:r>
      <w:r>
        <w:t xml:space="preserve"> orchestrates a multi-agent regulatory submission swarm. Specialized drafting agents ingest raw preclinical and clinical dossiers to generate Module 2 (Summaries) and Module 5 (Clinical Study Reports) of the CTD. In parallel, a dedicated Auditor Agent cross-references every drafted clinical claim directly back to source SAS tables. This compresses the timeline for NDA/BLA dossier assembly from several months to under two weeks, achieving a 10x productivity leap.</w:t>
      </w:r>
    </w:p>
    <w:p>
      <w:pPr>
        <w:pStyle w:val="Heading3"/>
      </w:pPr>
      <w:r>
        <w:t>Role 8: The Head of Clinical Quality — Inspection Readiness Auditing</w:t>
      </w:r>
    </w:p>
    <w:p>
      <w:pPr>
        <w:pStyle w:val="Quote"/>
      </w:pPr>
      <w:r>
        <w:rPr>
          <w:b/>
          <w:i/>
        </w:rPr>
        <w:t>Profile:</w:t>
      </w:r>
      <w:r>
        <w:rPr>
          <w:i/>
        </w:rPr>
        <w:t xml:space="preserve"> Quality assurance lead ensuring GCP compliance through continuous eTMF and EDC background auditing agents.</w:t>
      </w:r>
    </w:p>
    <w:p>
      <w:pPr>
        <w:jc w:val="left"/>
      </w:pPr>
      <w:r>
        <w:t xml:space="preserve">The </w:t>
      </w:r>
      <w:r>
        <w:rPr>
          <w:b/>
        </w:rPr>
        <w:t>Head of Clinical Quality</w:t>
      </w:r>
      <w:r>
        <w:t xml:space="preserve"> deploys continuous inspection-readiness agents. The agents run persistent background audits across the electronic Trial Master File (eTMF) and EDC, automatically classifying documents against the DIA TMF Reference Model and identifying incomplete signatures or missing files. This shifts GCP compliance from high-stress quarterly audits to a continuous, real-time readiness model, reducing inspection preparation workloads by 10x.</w:t>
      </w:r>
    </w:p>
    <w:p>
      <w:pPr>
        <w:pStyle w:val="Heading3"/>
      </w:pPr>
      <w:r>
        <w:t>Domain 5: Commercial Readiness &amp; Market Access</w:t>
      </w:r>
    </w:p>
    <w:p>
      <w:pPr>
        <w:pStyle w:val="Heading3"/>
      </w:pPr>
      <w:r>
        <w:t>Role 9: The Chief Commercial Officer — Launch Readiness</w:t>
      </w:r>
    </w:p>
    <w:p>
      <w:pPr>
        <w:pStyle w:val="Quote"/>
      </w:pPr>
      <w:r>
        <w:rPr>
          <w:b/>
          <w:i/>
        </w:rPr>
        <w:t>Profile:</w:t>
      </w:r>
      <w:r>
        <w:rPr>
          <w:i/>
        </w:rPr>
        <w:t xml:space="preserve"> Commercial leader mapping competitive landscapes and GTM strategies using crawling and medical communication agents.</w:t>
      </w:r>
    </w:p>
    <w:p>
      <w:pPr>
        <w:jc w:val="left"/>
      </w:pPr>
      <w:r>
        <w:t xml:space="preserve">The </w:t>
      </w:r>
      <w:r>
        <w:rPr>
          <w:b/>
        </w:rPr>
        <w:t>Chief Commercial Officer (CCO)</w:t>
      </w:r>
      <w:r>
        <w:t xml:space="preserve"> utilizes competitive intelligence and medical communications agents. The agents continuously crawl trial registries, conference abstracts, and medical literature to map the changing competitive landscape. Marketing agents automatically translate clinical trial data into compliant draft medical communications, scientific slide decks, and educational materials, accelerating commercial launch readiness and custom content preparation by 10x.</w:t>
      </w:r>
    </w:p>
    <w:p>
      <w:pPr>
        <w:pStyle w:val="Heading3"/>
      </w:pPr>
      <w:r>
        <w:t>Role 10: The Market Access Director — HEOR Synthesis</w:t>
      </w:r>
    </w:p>
    <w:p>
      <w:pPr>
        <w:pStyle w:val="Quote"/>
      </w:pPr>
      <w:r>
        <w:rPr>
          <w:b/>
          <w:i/>
        </w:rPr>
        <w:t>Profile:</w:t>
      </w:r>
      <w:r>
        <w:rPr>
          <w:i/>
        </w:rPr>
        <w:t xml:space="preserve"> HEOR specialist demonstrating clinical cost-effectiveness and running automated pricing simulations for global payers.</w:t>
      </w:r>
    </w:p>
    <w:p>
      <w:pPr>
        <w:jc w:val="left"/>
      </w:pPr>
      <w:r>
        <w:t xml:space="preserve">The </w:t>
      </w:r>
      <w:r>
        <w:rPr>
          <w:b/>
        </w:rPr>
        <w:t>Market Access &amp; HEOR Director</w:t>
      </w:r>
      <w:r>
        <w:t xml:space="preserve"> leverages HEOR synthesis agents that ingest clinical efficacy metrics, real-world evidence (RWE), and patient-reported outcomes to automatically generate health economic dossiers. The agents run extensive Monte Carlo simulations to test pricing strategies against global reimbursement frameworks, reducing modeling cycle times by 10x and allowing the director to customize value dossiers for multiple payers concurrently.</w:t>
      </w:r>
    </w:p>
    <w:p>
      <w:pPr>
        <w:pStyle w:val="Heading3"/>
      </w:pPr>
      <w:r>
        <w:t>Domain 6: Capital Strategy</w:t>
      </w:r>
    </w:p>
    <w:p>
      <w:pPr>
        <w:pStyle w:val="Heading3"/>
      </w:pPr>
      <w:r>
        <w:t>Role 11: The CFO — Capital Strategy and Cash Burn Simulation</w:t>
      </w:r>
    </w:p>
    <w:p>
      <w:pPr>
        <w:pStyle w:val="Quote"/>
      </w:pPr>
      <w:r>
        <w:rPr>
          <w:b/>
          <w:i/>
        </w:rPr>
        <w:t>Profile:</w:t>
      </w:r>
      <w:r>
        <w:rPr>
          <w:i/>
        </w:rPr>
        <w:t xml:space="preserve"> Financial strategist balancing fixed operating costs against clinical trial variables using automated Monte Carlo forecasting.</w:t>
      </w:r>
    </w:p>
    <w:p>
      <w:pPr>
        <w:jc w:val="left"/>
      </w:pPr>
      <w:r>
        <w:t xml:space="preserve">The </w:t>
      </w:r>
      <w:r>
        <w:rPr>
          <w:b/>
        </w:rPr>
        <w:t>CFO</w:t>
      </w:r>
      <w:r>
        <w:t xml:space="preserve"> implements automated financial forecasting networks. The agents continuously ingest patient recruitment speeds, CMC process validation costs, and variable CRO invoices to execute live Monte Carlo cash burn simulations. By dynamically forecasting runway under various enrollment scenarios and drafting milestone-driven fundraising proposals, the CFO achieves a 10x speedup in capital planning cycles, ensuring proactive, risk-mitigated financial management.</w:t>
      </w:r>
    </w:p>
    <w:p>
      <w:pPr>
        <w:pStyle w:val="Heading2"/>
      </w:pPr>
      <w:r>
        <w:t>3. Decision Support: Technical Mitigation of Human Bias</w:t>
      </w:r>
    </w:p>
    <w:p>
      <w:pPr>
        <w:jc w:val="left"/>
      </w:pPr>
      <w:r>
        <w:t>Cognitive biases systematically distort pharmaceutical R&amp;D decisions, particularly at the critical "Go/No-Go" stage gates where massive capital is committed. A landmark 2022 survey of 92 senior pharmaceutical industry practitioners, published in Nature Reviews Drug Discovery, identified the most prevalent cognitive biases:</w:t>
      </w:r>
    </w:p>
    <w:p>
      <w:pPr>
        <w:pStyle w:val="ListBullet"/>
      </w:pPr>
      <w:r>
        <w:rPr>
          <w:b/>
        </w:rPr>
        <w:t>Confirmation Bias (57% prevalence)</w:t>
      </w:r>
      <w:r>
        <w:t>: Designing trials to confirm hypotheses, selecting favorable endpoints, and ignoring contradictory evidence. (https://sdg.com/publications/mitigating-biases-in-pharmaceutical-rd-decision-making)</w:t>
      </w:r>
    </w:p>
    <w:p>
      <w:pPr>
        <w:pStyle w:val="ListBullet"/>
      </w:pPr>
      <w:r>
        <w:rPr>
          <w:b/>
        </w:rPr>
        <w:t>Champion Bias</w:t>
      </w:r>
      <w:r>
        <w:t>: Evaluating a plan or proposal based on the track record of the person presenting it, or overweighing a senior champion's personal view.</w:t>
      </w:r>
    </w:p>
    <w:p>
      <w:pPr>
        <w:pStyle w:val="ListBullet"/>
      </w:pPr>
      <w:r>
        <w:rPr>
          <w:b/>
        </w:rPr>
        <w:t>Sunk-Cost Fallacy</w:t>
      </w:r>
      <w:r>
        <w:t>: Continuing failing clinical programs due to cumulative historical spending rather than future probability of success. (https://www.drugpatentwatch.com/blog/decision-making-product-portfolios-pharmaceutical-research-development-managing-streams-innovation-highly-regulated-markets)</w:t>
      </w:r>
    </w:p>
    <w:p>
      <w:pPr>
        <w:pStyle w:val="ListBullet"/>
      </w:pPr>
      <w:r>
        <w:rPr>
          <w:b/>
        </w:rPr>
        <w:t>Groupthink and Consensus Bias</w:t>
      </w:r>
      <w:r>
        <w:t>: Governance committees converging on premature consensus, actively suppressing critical dissent and minority opinions, as corroborated by Bieske et al. in Drug Discovery Today. (https://www.alacrita.com/blog/the-hidden-pitfalls-of-unconscious-bias-in-drug-development)</w:t>
      </w:r>
    </w:p>
    <w:p>
      <w:pPr>
        <w:jc w:val="left"/>
      </w:pPr>
      <w:r>
        <w:t>To operationalize mitigations, the AI-native biotech deploys disinterested, non-incentivized program reviewing agents. These agents ingest and synthesize a volume of context that far exceeds human limits—including thousands of clinical trials, RWE datasets, regulatory precedents, and safety alerts. By cross-referencing disparate databases in real time, agents detect hidden, horizontal correlations (such as systemic safety signals across mechanistically unrelated trials, CMC anomalies, or shifts in regulatory precedents) that would remain siloed to human teams. Furthermore, agents continuously evaluate trial data against target product profiles (TPPs), alerting teams immediately of deviations and acting as disinterested "No-Go" advocates who face no career risk for recommending termination.</w:t>
      </w:r>
    </w:p>
    <w:p>
      <w:pPr>
        <w:jc w:val="left"/>
      </w:pPr>
      <w:r>
        <w:t>The key operational mechanism for this bias mitigation is remarkably straightforward. While the human brain is highly susceptible to cognitive fatigue and recency bias—consistently over-indexing on the most recently read study, the most dramatic competitor press release, or the loudest voice in a committee room—autonomous AI agents operate without fatigue or emotional attachment. An agentic system can simultaneously consume, synthesize, and objectively weigh data across 10 to 20 recent clinical studies, historical trials, and regulatory precedents in active memory. By presenting a statistically grounded, comprehensive evidence base that does not favor any single recent outcome, these agents counteract the recency bias and emotional anchoring that so frequently lead human clinical boards to make disastrous Go/No-Go decisions.</w:t>
      </w:r>
    </w:p>
    <w:p>
      <w:pPr>
        <w:pStyle w:val="Heading2"/>
      </w:pPr>
      <w:r>
        <w:t>4. Synthetic KOL: Virtual Advisory Panels</w:t>
      </w:r>
    </w:p>
    <w:p>
      <w:pPr>
        <w:jc w:val="left"/>
      </w:pPr>
      <w:r>
        <w:t>Key Opinion Leaders (KOLs), global regulatory authorities, and healthcare payers represent the critical external stakeholders whose validation determines a therapeutic asset's regulatory and commercial success. However, engaging human experts, regulators, and insurance payers is exceptionally slow, expensive, and constrained by organizational mindshare—with standard KOL advisory rates ranging from $400 to $600 per hour, and regulatory feedback taking months to secure.</w:t>
      </w:r>
    </w:p>
    <w:p>
      <w:pPr>
        <w:jc w:val="left"/>
      </w:pPr>
      <w:r>
        <w:t xml:space="preserve">To resolve this bottleneck, the AI-native biotech instantiates virtual advisory panels that represent these distinct, hard-to-reach personas. By translating the publications, patents, clinical trial registries, and public statements of global experts, regulatory guidelines (e.g., FDA/EMA guidance documents), and historical insurance coverage decisions into customized agent personas, the organization can simulate multi-stakeholder advisory boards at will. This includes simulating not only synthetic </w:t>
      </w:r>
      <w:r>
        <w:rPr>
          <w:b/>
        </w:rPr>
        <w:t>Key Opinion Leaders</w:t>
      </w:r>
      <w:r>
        <w:t xml:space="preserve"> to evaluate scientific merit, but also virtual </w:t>
      </w:r>
      <w:r>
        <w:rPr>
          <w:b/>
        </w:rPr>
        <w:t>regulatory auditors</w:t>
      </w:r>
      <w:r>
        <w:t xml:space="preserve"> to stress-test filing dossiers for compliance gaps, and synthetic </w:t>
      </w:r>
      <w:r>
        <w:rPr>
          <w:b/>
        </w:rPr>
        <w:t>healthcare payers</w:t>
      </w:r>
      <w:r>
        <w:t xml:space="preserve"> to critique pricing and reimbursement frameworks long before formal submission.</w:t>
      </w:r>
    </w:p>
    <w:p>
      <w:pPr>
        <w:jc w:val="left"/>
      </w:pPr>
      <w:r>
        <w:t>The AI-native biotech addresses this bottleneck by translating the publications, patents, clinical trial registries, and public statements of global experts into highly customized, virtual expert personas. This approach rests on a well-established behavioral premise: in real life, prominent scientific experts and academic physicians rarely deviate from their long-established, public beliefs and past intellectual frameworks. They operate within highly consistent, observable patterns.</w:t>
      </w:r>
    </w:p>
    <w:p>
      <w:pPr>
        <w:jc w:val="left"/>
      </w:pPr>
      <w:r>
        <w:t>By using commercial platforms and frameworks calibrated against real-world data, the organization can instantiate virtual expert panels at a fraction of the cost:</w:t>
      </w:r>
    </w:p>
    <w:p>
      <w:pPr>
        <w:pStyle w:val="ListBullet"/>
      </w:pPr>
      <w:r>
        <w:rPr>
          <w:b/>
        </w:rPr>
        <w:t>Commercial Cost Reduction</w:t>
      </w:r>
      <w:r>
        <w:t>: Platforms like Delve AI can generate synthetic panels at a cost of approximately $0.99 to $2.00 per synthetic user, compared to traditional focus groups that cost $15,000 to $30,000 per session. (https://www.delve.ai/blog/synthetic-panels)</w:t>
      </w:r>
    </w:p>
    <w:p>
      <w:pPr>
        <w:pStyle w:val="ListBullet"/>
      </w:pPr>
      <w:r>
        <w:rPr>
          <w:b/>
        </w:rPr>
        <w:t>Velocity of Insight</w:t>
      </w:r>
      <w:r>
        <w:t>: Having a representative, synthetic panel of global experts immediately accessible allows the strategy team to stress-test commercial positioning, pre-test scientific messaging, and critique clinical protocols in minutes rather than weeks.</w:t>
      </w:r>
    </w:p>
    <w:p>
      <w:pPr>
        <w:jc w:val="left"/>
      </w:pPr>
      <w:r>
        <w:t>However, deploying synthetic KOL panels introduces critical risks. LLMs tend toward consensus, which can suppress highly novel, eccentric, or contrarian insights—the "novelty suppression" or "missing 23%" problem, where an LLM hybrid recovered 77% of themes but missed the critical 23% of highly specific, non-obvious human insights. (https://sloanreview.mit.edu/article/gain-consumer-insight-with-generative-ai/) Furthermore, organizations must avoid the "Researcher as Demiurge" problem, where a researcher who constructs both the synthetic respondent and the AI moderator runs the risk of conducting a conversation with a sophisticated echo of their own assumptions, leading to comforting but incorrect conclusions.</w:t>
      </w:r>
    </w:p>
    <w:p>
      <w:pPr>
        <w:jc w:val="left"/>
      </w:pPr>
      <w:r>
        <w:t xml:space="preserve">To mitigate these risks, the AI-native biotech enforces a strict operational safeguard: </w:t>
      </w:r>
      <w:r>
        <w:rPr>
          <w:b/>
        </w:rPr>
        <w:t>Adversarial Separation</w:t>
      </w:r>
      <w:r>
        <w:t>. The team responsible for designing, prompting, and maintaining the synthetic KOL panel must be entirely independent of the strategic team evaluating the output and making final R&amp;D and portfolio decisions. (https://doi.org/10.1016/j.socscimed.2025.117552)</w:t>
      </w:r>
    </w:p>
    <w:p>
      <w:pPr>
        <w:pStyle w:val="Heading2"/>
      </w:pPr>
      <w:r>
        <w:t>5. Company Brain: Compounding Organizational Intelligence</w:t>
      </w:r>
    </w:p>
    <w:p>
      <w:pPr>
        <w:jc w:val="left"/>
      </w:pPr>
      <w:r>
        <w:t>In a traditional biotechnology organization, critical knowledge is siloed across thousands of clinical protocols, scientific papers, meeting transcripts, and vendor invoices. Standard search or basic enterprise RAG (Retrieval-Augmented Generation) systems parse these documents from scratch on every query, leading to high latency, repetitive computational costs, and zero long-term accumulation of corporate intelligence.</w:t>
      </w:r>
    </w:p>
    <w:p>
      <w:pPr>
        <w:jc w:val="left"/>
      </w:pPr>
      <w:r>
        <w:t xml:space="preserve">To solve this, the AI-native biotech implements a persistent, compounding </w:t>
      </w:r>
      <w:r>
        <w:rPr>
          <w:b/>
        </w:rPr>
        <w:t>Company Brain</w:t>
      </w:r>
      <w:r>
        <w:t xml:space="preserve"> structured around Andrej Karpathy's </w:t>
      </w:r>
      <w:r>
        <w:rPr>
          <w:b/>
        </w:rPr>
        <w:t>LLM Wiki</w:t>
      </w:r>
      <w:r>
        <w:t xml:space="preserve"> paradigm. Rather than treating document processing as a series of isolated, ephemeral tasks, the LLM Wiki functions as a living codebase of corporate knowledge. When new information is introduced, autonomous agents compile, reconcile, and integrate it once, updating a persistent, interconnected web of markdown concept pages and resolving contradictions.</w:t>
      </w:r>
    </w:p>
    <w:p>
      <w:pPr>
        <w:jc w:val="left"/>
      </w:pPr>
      <w:r>
        <w:t>This architecture is organized into a robust three-layer system:</w:t>
      </w:r>
    </w:p>
    <w:p>
      <w:pPr>
        <w:jc w:val="left"/>
      </w:pPr>
      <w:r>
        <w:t xml:space="preserve">1. </w:t>
      </w:r>
      <w:r>
        <w:rPr>
          <w:b/>
        </w:rPr>
        <w:t>Raw Sources (Immutable)</w:t>
      </w:r>
      <w:r>
        <w:t>: The foundational repository of primary source documents, including clinical protocols, academic literature, competitive trial registries, and CRO invoices.</w:t>
      </w:r>
    </w:p>
    <w:p>
      <w:pPr>
        <w:jc w:val="left"/>
      </w:pPr>
      <w:r>
        <w:t xml:space="preserve">2. </w:t>
      </w:r>
      <w:r>
        <w:rPr>
          <w:b/>
        </w:rPr>
        <w:t>The Wiki (Persistent Markdown)</w:t>
      </w:r>
      <w:r>
        <w:t>: A highly structured, agent-maintained directory of concept maps, molecule profiles, manufacturing process dossiers, and operational guidelines.</w:t>
      </w:r>
    </w:p>
    <w:p>
      <w:pPr>
        <w:jc w:val="left"/>
      </w:pPr>
      <w:r>
        <w:t xml:space="preserve">3. </w:t>
      </w:r>
      <w:r>
        <w:rPr>
          <w:b/>
        </w:rPr>
        <w:t>The Schema (Rules and Metacognition)</w:t>
      </w:r>
      <w:r>
        <w:t>: A central configuration file (conceptually aligned with `AGENTS.md`) that explicitly defines directories, formatting standards, and ingestion boundaries for autonomous agents.</w:t>
      </w:r>
    </w:p>
    <w:p>
      <w:pPr>
        <w:jc w:val="left"/>
      </w:pPr>
      <w:r>
        <w:t>This technical architecture is validated by Y Combinator's Summer 2026 Request for Startups (RFS), which highlights the "Company Brain" as the critical, missing layer between raw corporate data and reliable agentic automation (https://www.ycombinator.com/rfs).</w:t>
      </w:r>
    </w:p>
    <w:p>
      <w:pPr>
        <w:jc w:val="left"/>
      </w:pPr>
      <w:r>
        <w:t>In day-to-day business operations, the LLM Wiki operates through three core automated workflows:</w:t>
      </w:r>
    </w:p>
    <w:p>
      <w:pPr>
        <w:pStyle w:val="ListBullet"/>
      </w:pPr>
      <w:r>
        <w:rPr>
          <w:b/>
        </w:rPr>
        <w:t>Source Ingestion</w:t>
      </w:r>
      <w:r>
        <w:t>: When a team member uploads a raw document, agents analyze the content, automatically update the central catalog index, and immediately propagate relevant insights across 10 to 15 interconnected concept pages.</w:t>
      </w:r>
    </w:p>
    <w:p>
      <w:pPr>
        <w:pStyle w:val="ListBullet"/>
      </w:pPr>
      <w:r>
        <w:rPr>
          <w:b/>
        </w:rPr>
        <w:t>Synthesis and Retrieval</w:t>
      </w:r>
      <w:r>
        <w:t>: Instead of querying raw database tables or running unstructured keyword searches, operators query the structured Wiki index to instantly retrieve comprehensive, expert-level strategic briefs with every claim directly cited back to immutable raw sources.</w:t>
      </w:r>
    </w:p>
    <w:p>
      <w:pPr>
        <w:pStyle w:val="ListBullet"/>
      </w:pPr>
      <w:r>
        <w:rPr>
          <w:b/>
        </w:rPr>
        <w:t>Continuous Auditing (Linting)</w:t>
      </w:r>
      <w:r>
        <w:t>: Autonomous agentic pipelines run persistent background audits to detect logical contradictions between old and new files (such as a protocol amendment that contradicts a manufacturing dossier), identify knowledge gaps, and automatically repair broken cross-references.</w:t>
      </w:r>
    </w:p>
    <w:p>
      <w:pPr>
        <w:jc w:val="left"/>
      </w:pPr>
      <w:r>
        <w:t xml:space="preserve">Furthermore, the LLM Wiki is entirely language-agnostic, enabling a global clinical operations team to operate seamlessly across borders with perfect translation and synchronization. Crucially, the Company Brain represents a fundamental evolution beyond passive, static enterprise storage systems such as Confluence or SharePoint. By ingesting not just static reference documents but also active meeting memos, trial dashboards, strategic board discussions, and clinical stage-gate decisions, it functions as a centralized, dynamic </w:t>
      </w:r>
      <w:r>
        <w:rPr>
          <w:b/>
        </w:rPr>
        <w:t>AI Chief of Staff</w:t>
      </w:r>
      <w:r>
        <w:t xml:space="preserve"> that sits at the center of the organization. This system possesses a continuous, synthesized understanding of the company's real-time operational status, acting as a proactive partner in guiding executive decision-making.</w:t>
      </w:r>
    </w:p>
    <w:p>
      <w:pPr>
        <w:jc w:val="left"/>
      </w:pPr>
      <w:r>
        <w:t>By establishing the LLM Wiki as the primary operational repository, the cost of keeping organizational knowledge current drops to near zero, enabling a hyper-efficient global clinical team to operate with absolute alignment and total context.</w:t>
      </w:r>
    </w:p>
    <w:p>
      <w:pPr>
        <w:pStyle w:val="Heading2"/>
      </w:pPr>
      <w:r>
        <w:t>6. Innovation Arbitrage: Global Asset Sourcing and Licensing Risks</w:t>
      </w:r>
    </w:p>
    <w:p>
      <w:pPr>
        <w:jc w:val="left"/>
      </w:pPr>
      <w:r>
        <w:t xml:space="preserve">The 10x operational productivity and cognitive augmentation described throughout this memo are not merely theoretical efficiency gains—they have immediate, high-leverage applications in global asset sourcing and licensing. Specifically, they unlock the ability to exploit the massive </w:t>
      </w:r>
      <w:r>
        <w:rPr>
          <w:b/>
        </w:rPr>
        <w:t>Innovation Arbitrage</w:t>
      </w:r>
      <w:r>
        <w:t xml:space="preserve"> currently emerging from China.</w:t>
      </w:r>
    </w:p>
    <w:p>
      <w:pPr>
        <w:jc w:val="left"/>
      </w:pPr>
      <w:r>
        <w:t xml:space="preserve">In 2025, a fundamental transformation occurred in the global pharmaceutical market: Chinese biotechs underwent a dramatic shift from licensing Western drugs in to licensing Chinese-origin drugs out. Chinese companies signed a record </w:t>
      </w:r>
      <w:r>
        <w:rPr>
          <w:b/>
        </w:rPr>
        <w:t>$135.7 billion</w:t>
      </w:r>
      <w:r>
        <w:t xml:space="preserve"> in outbound licensing agreements—representing </w:t>
      </w:r>
      <w:r>
        <w:rPr>
          <w:b/>
        </w:rPr>
        <w:t>one-third of all global licensing spend</w:t>
      </w:r>
      <w:r>
        <w:t>, and making China the world's most important source of licensable drug assets (https://www.axios.com/2025/09/08/china-deals-biotech-us).</w:t>
      </w:r>
    </w:p>
    <w:p>
      <w:pPr>
        <w:jc w:val="left"/>
      </w:pPr>
      <w:r>
        <w:t>For legacy pharmaceutical giants, aggressively sourcing from this massive influx of Chinese-origin clinical assets is an operational impossibility. Bloated manual processes, language barriers, complex cross-border regulations, and historical data-integrity risks limit their capacity to review and diligence more than a handful of candidate compounds per year. Conversely, a hyper-agile, AI-native biotech team—armed with a compounding Company Brain and autonomous screening agents—can continuously crawl Chinese clinical registries, ingest thousands of preclinical profiles, and conduct rigorous, automated due diligence at scale. This allows a three-person operational team to evaluate hundreds of assets, identify high-potential candidates, and execute cross-border licensing deals with 10x greater agility, speed, and strategic precision than a traditional biopharma conglomerate.</w:t>
      </w:r>
    </w:p>
    <w:p>
      <w:pPr>
        <w:jc w:val="left"/>
      </w:pPr>
      <w:r>
        <w:t xml:space="preserve">This growth is driven by a powerful "Innovation Arbitrage": Chinese drug discovery costs are </w:t>
      </w:r>
      <w:r>
        <w:rPr>
          <w:b/>
        </w:rPr>
        <w:t>30% to 40% lower</w:t>
      </w:r>
      <w:r>
        <w:t xml:space="preserve"> than in the US/EU, while clinical trial enrollment is </w:t>
      </w:r>
      <w:r>
        <w:rPr>
          <w:b/>
        </w:rPr>
        <w:t>2 to 3 times faster</w:t>
      </w:r>
      <w:r>
        <w:t xml:space="preserve"> due to China's massive patient population. This allows Western biotechs to access de-risked, clinical-stage assets at valuations that still represent significant upside versus internal development. (https://visionlifesciences.com/insights/china-biotech-outbound-licensing-tracker)</w:t>
      </w:r>
    </w:p>
    <w:p>
      <w:pPr>
        <w:jc w:val="left"/>
      </w:pPr>
      <w:r>
        <w:t>The landscape is defined by several landmark successes:</w:t>
      </w:r>
    </w:p>
    <w:p>
      <w:pPr>
        <w:pStyle w:val="ListBullet"/>
      </w:pPr>
      <w:r>
        <w:rPr>
          <w:b/>
        </w:rPr>
        <w:t>CARVYKTI (ciltacabtagene autoleucel)</w:t>
      </w:r>
      <w:r>
        <w:t>: First Chinese-origin CAR-T cell therapy to receive FDA approval, licensed to Johnson &amp; Johnson and generating $1+ billion in revenue.</w:t>
      </w:r>
    </w:p>
    <w:p>
      <w:pPr>
        <w:pStyle w:val="ListBullet"/>
      </w:pPr>
      <w:r>
        <w:rPr>
          <w:b/>
        </w:rPr>
        <w:t>Tislelizumab</w:t>
      </w:r>
      <w:r>
        <w:t>: A Chinese-origin PD-1 inhibitor developed by BeiGene, licensed to Novartis in a landmark $2.2 billion deal and receiving FDA approval in 2023.</w:t>
      </w:r>
    </w:p>
    <w:p>
      <w:pPr>
        <w:pStyle w:val="ListBullet"/>
      </w:pPr>
      <w:r>
        <w:rPr>
          <w:b/>
        </w:rPr>
        <w:t>Ivonescimab (AK112)</w:t>
      </w:r>
      <w:r>
        <w:t>: A PD-1/VEGF bispecific antibody developed by Akeso, licensed to Summit Therapeutics in a $5.0 billion deal, demonstrating superior Phase 3 efficacy versus Keytruda.</w:t>
      </w:r>
    </w:p>
    <w:p>
      <w:pPr>
        <w:pStyle w:val="ListBullet"/>
      </w:pPr>
      <w:r>
        <w:rPr>
          <w:b/>
        </w:rPr>
        <w:t>GSK / Hengrui Deal</w:t>
      </w:r>
      <w:r>
        <w:t>: A $12.5 billion outbound licensing deal for Hengrui's HRS-9821 for COPD, reflecting premium, selective pricing. (https://visionlifesciences.com/insights/china-biotech-outbound-licensing-tracker)</w:t>
      </w:r>
    </w:p>
    <w:p>
      <w:pPr>
        <w:jc w:val="left"/>
      </w:pPr>
      <w:r>
        <w:t xml:space="preserve">However, sourcing assets from China introduces a severe historical risk: </w:t>
      </w:r>
      <w:r>
        <w:rPr>
          <w:b/>
        </w:rPr>
        <w:t>Data Integrity</w:t>
      </w:r>
      <w:r>
        <w:t xml:space="preserve">. In July 2015, the Chinese FDA ordered a self-examination of clinical trial data behind 1,622 drug applications. This resulted in approximately </w:t>
      </w:r>
      <w:r>
        <w:rPr>
          <w:b/>
        </w:rPr>
        <w:t>80% of applications being voluntarily withdrawn</w:t>
      </w:r>
      <w:r>
        <w:t xml:space="preserve"> due to serious quality issues, including data fabrication, GCP non-compliance, and incomplete data. (https://www.bmj.com/content/355/bmj.i5396) Tackle of false trial data has modernised rapidly, driven by China's 2017 ICH membership and partnerships with global CROs (IQVIA, Parexel). However, data integrity concerns remain a real risk, as highlighted by the FDA's 2025 General Correspondence Letters to two Chinese testing firms. (https://www.fda.gov/news-events/press-announcements/fda-takes-action-address-data-integrity-concerns-two-chinese-third-party-testing-firms)</w:t>
      </w:r>
    </w:p>
    <w:p>
      <w:pPr>
        <w:jc w:val="left"/>
      </w:pPr>
      <w:r>
        <w:t>To navigate this landscape, the AI-native biotech must avoid five critical contractual traps identified by Morgan Lewis (April 2026):</w:t>
      </w:r>
    </w:p>
    <w:p>
      <w:pPr>
        <w:jc w:val="left"/>
      </w:pPr>
      <w:r>
        <w:t xml:space="preserve">1. </w:t>
      </w:r>
      <w:r>
        <w:rPr>
          <w:b/>
        </w:rPr>
        <w:t>Toothless Anti-Shelving Clauses</w:t>
      </w:r>
      <w:r>
        <w:t>: MNCs prioritizing competing internal pipelines, leaving the licensed asset shelved. Innovators must demand specific, measurable development milestones and hard deadlines rather than relying on vague Commercially Reasonable Efforts (CRE) clauses. (https://www.morganlewis.com/pubs/2026/04/a-strategic-playbook-for-chinese-biotech-cross-border-deals-navigating-the-new-value-paradigm)</w:t>
      </w:r>
    </w:p>
    <w:p>
      <w:pPr>
        <w:jc w:val="left"/>
      </w:pPr>
      <w:r>
        <w:t xml:space="preserve">2. </w:t>
      </w:r>
      <w:r>
        <w:rPr>
          <w:b/>
        </w:rPr>
        <w:t>Change-of-Control Vulnerabilities</w:t>
      </w:r>
      <w:r>
        <w:t>: The licensee being acquired by a competitor of the Chinese innovator, jeopardizing the asset's future. Contracts must explicitly dictate how licenses and data rights are handled in the event of an acquisition.</w:t>
      </w:r>
    </w:p>
    <w:p>
      <w:pPr>
        <w:jc w:val="left"/>
      </w:pPr>
      <w:r>
        <w:t xml:space="preserve">3. </w:t>
      </w:r>
      <w:r>
        <w:rPr>
          <w:b/>
        </w:rPr>
        <w:t>Disappearing Milestones</w:t>
      </w:r>
      <w:r>
        <w:t>: Post-closing restructuring of clinical plans by the licensee to bypass milestone payment triggers. Precise definitions of triggering events are essential in the contract.</w:t>
      </w:r>
    </w:p>
    <w:p>
      <w:pPr>
        <w:jc w:val="left"/>
      </w:pPr>
      <w:r>
        <w:t xml:space="preserve">4. </w:t>
      </w:r>
      <w:r>
        <w:rPr>
          <w:b/>
        </w:rPr>
        <w:t>Ambiguous Data Rights</w:t>
      </w:r>
      <w:r>
        <w:t>: Clashes over the ownership and use of global clinical data to support domestic regulatory filings. Innovators must ensure they retain sufficient rights to leverage global trial data to support domestic regulatory filings in their home markets.</w:t>
      </w:r>
    </w:p>
    <w:p>
      <w:pPr>
        <w:jc w:val="left"/>
      </w:pPr>
      <w:r>
        <w:t xml:space="preserve">5. </w:t>
      </w:r>
      <w:r>
        <w:rPr>
          <w:b/>
        </w:rPr>
        <w:t>Data Integrity and Compliance</w:t>
      </w:r>
      <w:r>
        <w:t>: Inability of Chinese clinical data to meet rigorous FDA/EMA standards, triggering regulatory delays. MNCs demand rigorous validation that Chinese clinical data meets FDA/EMA standards, requiring absolute compliance with China's cross-border data transfer regulations and clear ownership of AI training data.</w:t>
      </w:r>
    </w:p>
    <w:p>
      <w:pPr>
        <w:jc w:val="left"/>
      </w:pPr>
      <w:r>
        <w:t xml:space="preserve">To optimize focus and speed, sophisticated developers increasingly utilize the </w:t>
      </w:r>
      <w:r>
        <w:rPr>
          <w:b/>
        </w:rPr>
        <w:t>NewCo Licensing Model</w:t>
      </w:r>
      <w:r>
        <w:t>, partnering with VC-backed NewCos (e.g., Hengrui's $1.1B deal with Braveheart Bio for cardiomyopathy drug HRS-1893) to capture higher economics, faster decision-making, and a built-to-buy endgame. (https://visionlifesciences.com/insights/china-biotech-outbound-licensing-tracker)</w:t>
      </w:r>
    </w:p>
    <w:p>
      <w:pPr>
        <w:pStyle w:val="Heading2"/>
      </w:pPr>
      <w:r>
        <w:t>7. Final Thought</w:t>
      </w:r>
    </w:p>
    <w:p>
      <w:pPr>
        <w:jc w:val="left"/>
      </w:pPr>
      <w:r>
        <w:t xml:space="preserve">Ultimately, the transition to the </w:t>
      </w:r>
      <w:r>
        <w:rPr>
          <w:b/>
        </w:rPr>
        <w:t>AI-native biotech</w:t>
      </w:r>
      <w:r>
        <w:t xml:space="preserve"> represents the natural next frontier for the global AI agent disruption. The true competitive advantage of the AI-native model lies in execution quality, strategic velocity, and risk mitigation. By re-engineering the entire corporate operating biology, a hyper-lean organization can make high-quality clinical decisions faster, identify and diligence high-value clinical assets in minutes, and execute cross-border licensing deals with unprecedented agility. Most importantly, this systematic precision directly targets and eliminates the operational and strategic missteps that currently account for 30% to 50% of drug candidate attrition in traditional, bloated biopharma organizations.</w:t>
      </w:r>
    </w:p>
    <w:p>
      <w:pPr>
        <w:jc w:val="left"/>
      </w:pPr>
      <w:r>
        <w:t>Operating with just 10% of the tier-1 human labor footprint of traditional biopharma, the AI-native biotech is positioned to run circles around slow-moving legacy conglomerates in the midst of the Chinese asset outbound boom. This paradigm shift represents a once-in-a-lifetime opportunity to build a generational $100 billion to $1 trillion company, commanding an automated swarm of goal-directed AI agents to achieve compounding operational leverage and redefine the future of global therapeutic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