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Proposal: External AI Strategist</w:t>
      </w:r>
    </w:p>
    <w:p>
      <w:pPr>
        <w:pStyle w:val="Heading2"/>
      </w:pPr>
      <w:r>
        <w:t>Context and Objective</w:t>
      </w:r>
    </w:p>
    <w:p>
      <w:pPr>
        <w:jc w:val="both"/>
      </w:pPr>
      <w:r>
        <w:t>Lumina Systems stands at a critical juncture in its technological evolution, requiring a sophisticated bridge between legacy infrastructure and the transformative potential of Large Language Model (LLM) integration. My objective is to serve as your External AI Strategist, providing the high-level guidance necessary to navigate this transition within the Strategic Operations &amp; Innovation group. We will focus our efforts on two primary workstreams designed to move Lumina from theoretical interest in AI to concrete, scalable operational execution.</w:t>
      </w:r>
    </w:p>
    <w:p>
      <w:pPr>
        <w:jc w:val="both"/>
      </w:pPr>
      <w:r>
        <w:t xml:space="preserve">The first workstream, </w:t>
      </w:r>
      <w:r>
        <w:rPr>
          <w:b/>
        </w:rPr>
        <w:t>AI Infrastructure Readiness</w:t>
      </w:r>
      <w:r>
        <w:t xml:space="preserve">, involves a rigorous evaluation of your current data pipelines and compute capacity. We will move beyond surface-level audits to produce a Technical Readiness Report that identifies specific structural bottlenecks preventing LLM scalability. The second workstream, </w:t>
      </w:r>
      <w:r>
        <w:rPr>
          <w:b/>
        </w:rPr>
        <w:t>Operational Efficiency Blueprints</w:t>
      </w:r>
      <w:r>
        <w:t>, will target the Global Supply Chain unit. Here, I will partner directly with your leadership team to architect a future-state strategy and technology stack that optimizes supply chain adoption. Whether we deliver a focused Single Unit Blueprint or a broader Cross-Functional Playbook, the goal remains the same: creating a scalable, high-alpha operational model.</w:t>
      </w:r>
    </w:p>
    <w:p>
      <w:pPr>
        <w:pStyle w:val="Heading2"/>
      </w:pPr>
      <w:r>
        <w:t>About Jane Doe</w:t>
      </w:r>
    </w:p>
    <w:p>
      <w:pPr>
        <w:jc w:val="both"/>
      </w:pPr>
      <w:r>
        <w:t>Jane Doe is a seasoned strategic advisor with over 20 years of experience guiding Fortune 500 executives through complex digital and organizational transformations. Formerly a Senior Partner at a leading global management consultancy, she has architected multi-year technology roadmaps for global logistics firms and spearheaded AI-integration initiatives for major financial institutions. Jane Doe specializes in the intersection of structural operational efficiency and emerging AI capabilities, ensuring that technological adoption translates directly into measurable business impact.</w:t>
      </w:r>
    </w:p>
    <w:p>
      <w:pPr>
        <w:pStyle w:val="Heading2"/>
      </w:pPr>
      <w:r>
        <w:t>Operating Principles</w:t>
      </w:r>
    </w:p>
    <w:p>
      <w:pPr>
        <w:jc w:val="both"/>
      </w:pPr>
      <w:r>
        <w:t>Our partnership will be governed by a commitment to high-velocity execution and the lean, asymmetric advantages of an AI-native operating model. Rather than the traditional consulting approach of deploying large teams to produce static slide decks, I operate as a highly integrated thought partner, utilizing advanced AI agents to compress analysis timelines and deliver functional validation in real-time.</w:t>
      </w:r>
    </w:p>
    <w:p>
      <w:pPr>
        <w:pStyle w:val="ListBullet"/>
      </w:pPr>
      <w:r>
        <w:rPr>
          <w:b/>
        </w:rPr>
        <w:t>Value creation focus:</w:t>
      </w:r>
      <w:r>
        <w:t xml:space="preserve"> Every action is filtered through the lens of alpha generation. We will prioritize workstreams that deliver the most significant tangible impact on Lumina’s bottom line and competitive positioning.</w:t>
      </w:r>
    </w:p>
    <w:p>
      <w:pPr>
        <w:pStyle w:val="ListBullet"/>
      </w:pPr>
      <w:r>
        <w:rPr>
          <w:b/>
        </w:rPr>
        <w:t>Bias towards action:</w:t>
      </w:r>
      <w:r>
        <w:t xml:space="preserve"> We move rapidly from strategic assessment to execution. This engagement favors concrete validation—such as data-driven software prototypes and active implementation blueprints—over theoretical reports.</w:t>
      </w:r>
    </w:p>
    <w:p>
      <w:pPr>
        <w:pStyle w:val="ListBullet"/>
      </w:pPr>
      <w:r>
        <w:rPr>
          <w:b/>
        </w:rPr>
        <w:t>Deep collaboration:</w:t>
      </w:r>
      <w:r>
        <w:t xml:space="preserve"> I will work side-by-side with your leadership, investment teams, and portfolio executives, functioning as a seamless extension of the Strategic Operations &amp; Innovation group.</w:t>
      </w:r>
    </w:p>
    <w:p>
      <w:pPr>
        <w:pStyle w:val="ListBullet"/>
      </w:pPr>
      <w:r>
        <w:rPr>
          <w:b/>
        </w:rPr>
        <w:t>AI-native methodology:</w:t>
      </w:r>
      <w:r>
        <w:t xml:space="preserve"> This engagement is powered by an aggressive use of AI agents to accelerate research, drafting, and analysis. This proposal itself was generated using a custom-built AI agent skill, demonstrating the speed and precision we will bring to Lumina’s challenges.</w:t>
      </w:r>
    </w:p>
    <w:p>
      <w:pPr>
        <w:pStyle w:val="ListBullet"/>
      </w:pPr>
      <w:r>
        <w:rPr>
          <w:b/>
        </w:rPr>
        <w:t>Capability building:</w:t>
      </w:r>
      <w:r>
        <w:t xml:space="preserve"> Beyond immediate deliverables, our work is designed to transfer AI-native operating principles to your internal teams, building lasting organizational capability that persists long after the engagement.</w:t>
      </w:r>
    </w:p>
    <w:p>
      <w:pPr>
        <w:pStyle w:val="Heading2"/>
      </w:pPr>
      <w:r>
        <w:t>Value and Impact</w:t>
      </w:r>
    </w:p>
    <w:p>
      <w:pPr>
        <w:jc w:val="both"/>
      </w:pPr>
      <w:r>
        <w:t>The success of this engagement will be defined by the clarity and executability of the resulting roadmaps. By the conclusion of our initial phase, Lumina Systems will possess a definitive Technical Readiness Report that de-risks future AI investments and a Global Supply Chain Blueprint that provides a clear path to enhanced operational efficiency. We are not merely aiming for incremental improvements; we are architecting the foundation for Lumina’s next generation of AI-driven growth, ensuring your infrastructure and operations are scaled for the demands of the coming decade.</w:t>
      </w:r>
    </w:p>
    <w:p>
      <w:pPr>
        <w:pStyle w:val="Heading2"/>
      </w:pPr>
      <w:r>
        <w:t>Professional Fees</w:t>
      </w:r>
    </w:p>
    <w:p>
      <w:pPr>
        <w:jc w:val="both"/>
      </w:pPr>
      <w:r>
        <w:t>I recommend a hybrid fee structure that combines a monthly retainer for dedicated availability with a per diem rate for project-specific execution. This model ensures you have consistent access to strategic counsel while maintaining the flexibility to scale execution support up or down based on the complexity of specific workstreams.</w:t>
      </w:r>
    </w:p>
    <w:p>
      <w:pPr>
        <w:jc w:val="both"/>
      </w:pPr>
      <w:r>
        <w:t>My fee calculation methodology is grounded in three pillars:</w:t>
      </w:r>
    </w:p>
    <w:p>
      <w:pPr>
        <w:pStyle w:val="ListBullet"/>
      </w:pPr>
      <w:r>
        <w:rPr>
          <w:b/>
        </w:rPr>
        <w:t>Value alignment:</w:t>
      </w:r>
      <w:r>
        <w:t xml:space="preserve"> The total expected investment is designed to remain below the fully loaded cost of an equivalent full-time executive (approximately $300,000 USD per annum), while providing access to specialized expertise on a more flexible basis.</w:t>
      </w:r>
    </w:p>
    <w:p>
      <w:pPr>
        <w:pStyle w:val="ListBullet"/>
      </w:pPr>
      <w:r>
        <w:rPr>
          <w:b/>
        </w:rPr>
        <w:t>Contractor overhead:</w:t>
      </w:r>
      <w:r>
        <w:t xml:space="preserve"> The rates account for all self-employment taxes, professional insurance, business expenses, and the utilization risk inherent in a highly specialized advisory model.</w:t>
      </w:r>
    </w:p>
    <w:p>
      <w:pPr>
        <w:pStyle w:val="ListBullet"/>
      </w:pPr>
      <w:r>
        <w:rPr>
          <w:b/>
        </w:rPr>
        <w:t>Market rate validation:</w:t>
      </w:r>
      <w:r>
        <w:t xml:space="preserve"> These fees are benchmarked against current market rates for high-level AI strategists and former MBB partners, where per diem rates for high-utilization engagements typically range from $1,500 to $2,000 USD.</w:t>
      </w:r>
    </w:p>
    <w:p>
      <w:pPr>
        <w:jc w:val="both"/>
      </w:pPr>
      <w:r>
        <w:rPr>
          <w:b/>
        </w:rPr>
        <w:t>Fee Structure:</w:t>
      </w:r>
    </w:p>
    <w:p>
      <w:pPr>
        <w:pStyle w:val="ListBullet"/>
      </w:pPr>
      <w:r>
        <w:rPr>
          <w:b/>
        </w:rPr>
        <w:t>Structure:</w:t>
      </w:r>
      <w:r>
        <w:t xml:space="preserve"> Monthly Advisory Retainer + Per Diem Execution Fee</w:t>
      </w:r>
    </w:p>
    <w:p>
      <w:pPr>
        <w:pStyle w:val="ListBullet"/>
      </w:pPr>
      <w:r>
        <w:rPr>
          <w:b/>
        </w:rPr>
        <w:t>Mechanism:</w:t>
      </w:r>
      <w:r>
        <w:t xml:space="preserve"> A fixed monthly retainer of $3,000 USD, supplemented by a per diem rate of $1,700 USD for active project days. Required days will be estimated and agreed upon at the start of each workstream.</w:t>
      </w:r>
    </w:p>
    <w:p>
      <w:pPr>
        <w:pStyle w:val="ListBullet"/>
      </w:pPr>
      <w:r>
        <w:rPr>
          <w:b/>
        </w:rPr>
        <w:t>Rationale:</w:t>
      </w:r>
      <w:r>
        <w:t xml:space="preserve"> This provides Lumina with "always-on" access to strategic advice while ensuring that project-specific costs are tied directly to active execution and deliverable milestones.</w:t>
      </w:r>
    </w:p>
    <w:p>
      <w:pPr>
        <w:jc w:val="both"/>
      </w:pPr>
      <w:r>
        <w:t>*Supplementary Terms:*</w:t>
      </w:r>
    </w:p>
    <w:p>
      <w:pPr>
        <w:pStyle w:val="ListBullet"/>
      </w:pPr>
      <w:r>
        <w:t>Performance-based or "contingency" fees are declined to maintain absolute objectivity and alignment with Lumina’s long-term strategic interests.</w:t>
      </w:r>
    </w:p>
    <w:p>
      <w:pPr>
        <w:pStyle w:val="ListBullet"/>
      </w:pPr>
      <w:r>
        <w:t>Standard business expenses (travel, specialized software licenses) will be reimbursed at cost with prior approval.</w:t>
      </w:r>
    </w:p>
    <w:p>
      <w:pPr>
        <w:pStyle w:val="ListBullet"/>
      </w:pPr>
      <w:r>
        <w:t>Invoicing will be managed through Doe Advisory LLC on a net-30 basis.</w:t>
      </w:r>
    </w:p>
    <w:p>
      <w:pPr>
        <w:jc w:val="both"/>
      </w:pPr>
      <w:r>
        <w:rPr>
          <w:b/>
        </w:rPr>
        <w:t>Contract Term Options:</w:t>
      </w:r>
    </w:p>
    <w:p>
      <w:pPr>
        <w:pStyle w:val="ListBullet"/>
      </w:pPr>
      <w:r>
        <w:rPr>
          <w:b/>
        </w:rPr>
        <w:t>Option A (Recommended):</w:t>
      </w:r>
    </w:p>
    <w:p>
      <w:pPr>
        <w:pStyle w:val="ListBullet2"/>
      </w:pPr>
      <w:r>
        <w:rPr>
          <w:b/>
        </w:rPr>
        <w:t>Structure:</w:t>
      </w:r>
      <w:r>
        <w:t xml:space="preserve"> Initial 12-month term with a 30-day termination clause for either party.</w:t>
      </w:r>
    </w:p>
    <w:p>
      <w:pPr>
        <w:pStyle w:val="ListBullet2"/>
      </w:pPr>
      <w:r>
        <w:rPr>
          <w:b/>
        </w:rPr>
        <w:t>Rationale:</w:t>
      </w:r>
      <w:r>
        <w:t xml:space="preserve"> Provides the stability needed for long-term strategic planning while maintaining the flexibility to adjust the relationship as Lumina’s needs evolve.</w:t>
      </w:r>
    </w:p>
    <w:p>
      <w:pPr>
        <w:pStyle w:val="ListBullet"/>
      </w:pPr>
      <w:r>
        <w:rPr>
          <w:b/>
        </w:rPr>
        <w:t>Option B:</w:t>
      </w:r>
    </w:p>
    <w:p>
      <w:pPr>
        <w:pStyle w:val="ListBullet2"/>
      </w:pPr>
      <w:r>
        <w:rPr>
          <w:b/>
        </w:rPr>
        <w:t>Structure:</w:t>
      </w:r>
      <w:r>
        <w:t xml:space="preserve"> Initial 6-month term with an option for a 6-month extension.</w:t>
      </w:r>
    </w:p>
    <w:p>
      <w:pPr>
        <w:pStyle w:val="ListBullet2"/>
      </w:pPr>
      <w:r>
        <w:rPr>
          <w:b/>
        </w:rPr>
        <w:t>Rationale:</w:t>
      </w:r>
      <w:r>
        <w:t xml:space="preserve"> A shorter initial commitment that allows for a formal review point before committing to a full year of engagement.</w:t>
      </w:r>
    </w:p>
    <w:p>
      <w:pPr>
        <w:pStyle w:val="Heading2"/>
      </w:pPr>
      <w:r>
        <w:t>Support Needed</w:t>
      </w:r>
    </w:p>
    <w:p>
      <w:pPr>
        <w:jc w:val="both"/>
      </w:pPr>
      <w:r>
        <w:t>To ensure the success of this high-velocity engagement, I will require the following support from Lumina Systems:</w:t>
      </w:r>
    </w:p>
    <w:p>
      <w:pPr>
        <w:pStyle w:val="ListBullet"/>
      </w:pPr>
      <w:r>
        <w:t>Lumina Systems corporate credentials and email address for seamless internal communication.</w:t>
      </w:r>
    </w:p>
    <w:p>
      <w:pPr>
        <w:pStyle w:val="ListBullet"/>
      </w:pPr>
      <w:r>
        <w:t>A Lumina-issued contractor laptop configured for secure access to internal systems.</w:t>
      </w:r>
    </w:p>
    <w:p>
      <w:pPr>
        <w:pStyle w:val="ListBullet"/>
      </w:pPr>
      <w:r>
        <w:t>Administrative access to enterprise software accounts, including Azure AI Studio and Jira Enterprise.</w:t>
      </w:r>
    </w:p>
    <w:p>
      <w:pPr>
        <w:pStyle w:val="ListBullet"/>
      </w:pPr>
      <w:r>
        <w:t>A standing weekly one-hour briefing with the Strategic Operations &amp; Innovation leadership team.</w:t>
      </w:r>
    </w:p>
    <w:p>
      <w:pPr>
        <w:pStyle w:val="Heading2"/>
      </w:pPr>
      <w:r>
        <w:t>Clarifications and Modifications</w:t>
      </w:r>
    </w:p>
    <w:p>
      <w:pPr>
        <w:jc w:val="both"/>
      </w:pPr>
      <w:r>
        <w:t>Any clarifications or modifications to this proposal will be discussed directly between the advisor and the Lumina Systems contract owner.</w:t>
      </w:r>
    </w:p>
    <w:p>
      <w:pPr>
        <w:pStyle w:val="ListBullet"/>
      </w:pPr>
      <w:r>
        <w:rPr>
          <w:b/>
        </w:rPr>
        <w:t>Name:</w:t>
      </w:r>
      <w:r>
        <w:t xml:space="preserve"> Jane Doe</w:t>
      </w:r>
    </w:p>
    <w:p>
      <w:pPr>
        <w:pStyle w:val="ListBullet"/>
      </w:pPr>
      <w:r>
        <w:rPr>
          <w:b/>
        </w:rPr>
        <w:t>Mobile:</w:t>
      </w:r>
      <w:r>
        <w:t xml:space="preserve"> +1 (212) 555-0198</w:t>
      </w:r>
    </w:p>
    <w:p>
      <w:pPr>
        <w:pStyle w:val="ListBullet"/>
      </w:pPr>
      <w:r>
        <w:rPr>
          <w:b/>
        </w:rPr>
        <w:t>Email:</w:t>
      </w:r>
      <w:r>
        <w:t xml:space="preserve"> jane.doe@doeadvisory.com</w:t>
      </w:r>
    </w:p>
    <w:p>
      <w:pPr>
        <w:pStyle w:val="Heading2"/>
      </w:pPr>
      <w:r>
        <w:t>Outstanding Questions</w:t>
      </w:r>
    </w:p>
    <w:p>
      <w:pPr>
        <w:pStyle w:val="ListBullet"/>
      </w:pPr>
      <w:r>
        <w:t>Can Lumina’s standard vendor agreement be modified to accommodate an individual strategic advisor role?</w:t>
      </w:r>
    </w:p>
    <w:p>
      <w:pPr>
        <w:pStyle w:val="ListBullet"/>
      </w:pPr>
      <w:r>
        <w:t>Is the tentative start date of June 1, 2026, still aligned with internal priorities?</w:t>
      </w:r>
    </w:p>
    <w:p>
      <w:pPr>
        <w:pStyle w:val="ListBullet"/>
      </w:pPr>
      <w:r>
        <w:t>Who will be the primary stakeholders and decision-makers for the Supply Chain blueprint workstream?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