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Proposal: External AI Strategist</w:t>
      </w:r>
    </w:p>
    <w:p>
      <w:pPr>
        <w:pStyle w:val="Heading2"/>
      </w:pPr>
      <w:r>
        <w:t>Context and Objective</w:t>
      </w:r>
    </w:p>
    <w:p>
      <w:pPr>
        <w:jc w:val="both"/>
      </w:pPr>
      <w:r>
        <w:t>I am pleased to present this proposal to partner with Lumina Systems' Strategic Operations &amp; Innovation group. As we discussed with Sarah Jenkins, the rapid advancement of artificial intelligence creates a fundamental imperative to re-evaluate both your underlying technical infrastructure and your core operational workflows. My role as External AI Strategist will focus on providing high-level strategic support across two foundational workstreams: conducting a rigorous AI Infrastructure Readiness audit and architecting Operational Efficiency Blueprints. For the infrastructure assessment, we will evaluate your legacy data pipelines and compute capacity to determine the feasibility of high-scale LLM integration and identify critical bottlenecks before they become costly obstacles. For the operational workstream, we will develop detailed blueprints for the Global Supply Chain unit, defining the future strategy, technology stacks, and adoption requirements in close partnership with C-level executives to drive sustained competitive advantage.</w:t>
      </w:r>
    </w:p>
    <w:p>
      <w:pPr>
        <w:pStyle w:val="Heading2"/>
      </w:pPr>
      <w:r>
        <w:t>About Jane Smith</w:t>
      </w:r>
    </w:p>
    <w:p>
      <w:pPr>
        <w:jc w:val="both"/>
      </w:pPr>
      <w:r>
        <w:t>Jane Smith is a seasoned AI strategist and technology executive with over 15 years of experience in enterprise AI implementation, digital transformation, and operational turnarounds. Most recently, Jane served as VP of Applied AI at a leading enterprise software company, where she led cross-functional teams responsible for deploying AI solutions across Fortune 500 clients in manufacturing, logistics, and healthcare. Prior to that, Jane spent eight years at a top-tier management consulting firm advising C-suite executives on large-scale digital transformations and technology-driven growth strategies. Jane also co-founded an analytics startup that scaled to serve over 500 enterprise customers before a successful acquisition.</w:t>
      </w:r>
    </w:p>
    <w:p>
      <w:pPr>
        <w:pStyle w:val="Heading2"/>
      </w:pPr>
      <w:r>
        <w:t>Operating Principles</w:t>
      </w:r>
    </w:p>
    <w:p>
      <w:pPr>
        <w:jc w:val="both"/>
      </w:pPr>
      <w:r>
        <w:t>My approach is deeply collaborative and tailored to the high-stakes environment of enterprise transformation. I will partner directly with Sarah Jenkins and the broader Strategic Operations &amp; Innovation leadership team to ensure that our insights are immediately actionable. We will operate with a bias for execution, moving rapidly from high-level strategic assessment to concrete validation—such as technical readiness reports, unit-specific blueprints, and cross-functional playbooks—to stress-test our hypotheses in real-world scenarios. By functioning as a true thought partner, I aim to integrate seamlessly into your existing workflows while bringing an objective, independent perspective to the evaluation and execution processes.</w:t>
      </w:r>
    </w:p>
    <w:p>
      <w:pPr>
        <w:pStyle w:val="Heading2"/>
      </w:pPr>
      <w:r>
        <w:t>Value and Impact</w:t>
      </w:r>
    </w:p>
    <w:p>
      <w:pPr>
        <w:jc w:val="both"/>
      </w:pPr>
      <w:r>
        <w:t>The ultimate goal of this engagement is to equip Lumina Systems with a clear, de-risked path toward AI maturity. By identifying infrastructure bottlenecks early and architecting scalable operational playbooks, we will significantly reduce the friction and cost associated with enterprise-wide AI adoption. Success will be achieved when Lumina's leadership team can confidently allocate capital toward high-impact AI initiatives based on our Technical Readiness Report, and when operational teams successfully deploy our Efficiency Blueprints to drive measurable cost reductions and performance gains across the supply chain.</w:t>
      </w:r>
    </w:p>
    <w:p>
      <w:pPr>
        <w:pStyle w:val="Heading2"/>
      </w:pPr>
      <w:r>
        <w:t>Professional Fees</w:t>
      </w:r>
    </w:p>
    <w:p>
      <w:pPr>
        <w:jc w:val="both"/>
      </w:pPr>
      <w:r>
        <w:t>To ensure maximum flexibility and alignment with your evolving priorities, I recommend a combination that provides dedicated availability without the artificial constraints of rigid milestone billing, while maintaining a simple, low-risk contractual term.</w:t>
      </w:r>
    </w:p>
    <w:p>
      <w:pPr>
        <w:jc w:val="both"/>
      </w:pPr>
      <w:r>
        <w:t>I calculated the professional fees with the following considerations:</w:t>
      </w:r>
    </w:p>
    <w:p>
      <w:pPr>
        <w:pStyle w:val="ListBullet"/>
      </w:pPr>
      <w:r>
        <w:rPr>
          <w:b/>
        </w:rPr>
        <w:t>Fair compensation</w:t>
      </w:r>
      <w:r>
        <w:t>: I start with the comparable full-time employee's total cash compensation (300,000 USD annually or 1,304 USD per diem) to reflect my AI technical, product, and transformation expertise.</w:t>
      </w:r>
    </w:p>
    <w:p>
      <w:pPr>
        <w:pStyle w:val="ListBullet"/>
      </w:pPr>
      <w:r>
        <w:rPr>
          <w:b/>
        </w:rPr>
        <w:t>Contractor overhead</w:t>
      </w:r>
      <w:r>
        <w:t>: I account for self-employment taxes, insurance, business expenses, and utilization risk while still staying below the fully-loaded FTE cost (1.5x or 1,957 USD per diem).</w:t>
      </w:r>
    </w:p>
    <w:p>
      <w:pPr>
        <w:pStyle w:val="ListBullet"/>
      </w:pPr>
      <w:r>
        <w:rPr>
          <w:b/>
        </w:rPr>
        <w:t>Market rates</w:t>
      </w:r>
      <w:r>
        <w:t>: Contract AI project managers in the California market command 1,500 to 2,000 USD per diem for high-utilization engagements; my proposed rate is competitive with this range while reflecting the broader strategic scope of this role.</w:t>
      </w:r>
    </w:p>
    <w:p>
      <w:pPr>
        <w:jc w:val="both"/>
      </w:pPr>
      <w:r>
        <w:rPr>
          <w:b/>
        </w:rPr>
        <w:t>Fee Structure Options:</w:t>
      </w:r>
    </w:p>
    <w:p>
      <w:pPr>
        <w:pStyle w:val="ListBullet"/>
      </w:pPr>
      <w:r>
        <w:rPr>
          <w:b/>
        </w:rPr>
        <w:t>Option 1: Retainer + Per Diem (Recommended)</w:t>
      </w:r>
    </w:p>
    <w:p>
      <w:pPr>
        <w:pStyle w:val="ListBullet2"/>
      </w:pPr>
      <w:r>
        <w:rPr>
          <w:b/>
        </w:rPr>
        <w:t>Structure:</w:t>
      </w:r>
      <w:r>
        <w:t xml:space="preserve"> $3,000 USD monthly retainer plus $1,700 USD per day for project-specific execution.</w:t>
      </w:r>
    </w:p>
    <w:p>
      <w:pPr>
        <w:pStyle w:val="ListBullet2"/>
      </w:pPr>
      <w:r>
        <w:rPr>
          <w:b/>
        </w:rPr>
        <w:t>Mechanism:</w:t>
      </w:r>
      <w:r>
        <w:t xml:space="preserve"> The required days are estimated at the start of each project. If the timeline changes, the billed days are adjusted in writing to reflect actual time spent.</w:t>
      </w:r>
    </w:p>
    <w:p>
      <w:pPr>
        <w:pStyle w:val="ListBullet2"/>
      </w:pPr>
      <w:r>
        <w:rPr>
          <w:b/>
        </w:rPr>
        <w:t>Rationale:</w:t>
      </w:r>
      <w:r>
        <w:t xml:space="preserve"> This is the proven model for how senior external advisors are managed, offering simplicity and flexibility. It relies on our weekly syncs to ensure all activity generates impact.</w:t>
      </w:r>
    </w:p>
    <w:p>
      <w:pPr>
        <w:pStyle w:val="ListBullet"/>
      </w:pPr>
      <w:r>
        <w:rPr>
          <w:b/>
        </w:rPr>
        <w:t>Option 2: Deliverable and Performance-Based</w:t>
      </w:r>
    </w:p>
    <w:p>
      <w:pPr>
        <w:pStyle w:val="ListBullet2"/>
      </w:pPr>
      <w:r>
        <w:rPr>
          <w:b/>
        </w:rPr>
        <w:t>Structure:</w:t>
      </w:r>
      <w:r>
        <w:t xml:space="preserve"> $3,000 USD monthly retainer plus approximately $50,000 USD per specific deliverable (each representing ~3 months of work). Examples of these deliverables include the Infrastructure Readiness Audit, Operational Efficiency Roadmap, or up to two Pilot Implementation support efforts.</w:t>
      </w:r>
    </w:p>
    <w:p>
      <w:pPr>
        <w:pStyle w:val="ListBullet2"/>
      </w:pPr>
      <w:r>
        <w:rPr>
          <w:b/>
        </w:rPr>
        <w:t>Rationale:</w:t>
      </w:r>
      <w:r>
        <w:t xml:space="preserve"> While this ties compensation directly to milestones, it introduces significant administrative overhead and potential friction in defining completion metrics, which does not scale effectively for an individual contractor.</w:t>
      </w:r>
    </w:p>
    <w:p>
      <w:pPr>
        <w:jc w:val="both"/>
      </w:pPr>
      <w:r>
        <w:rPr>
          <w:b/>
        </w:rPr>
        <w:t>Contract Term Options:</w:t>
      </w:r>
    </w:p>
    <w:p>
      <w:pPr>
        <w:pStyle w:val="ListBullet"/>
      </w:pPr>
      <w:r>
        <w:rPr>
          <w:b/>
        </w:rPr>
        <w:t>Option A: 12-Month Term (Recommended)</w:t>
      </w:r>
    </w:p>
    <w:p>
      <w:pPr>
        <w:pStyle w:val="ListBullet2"/>
      </w:pPr>
      <w:r>
        <w:rPr>
          <w:b/>
        </w:rPr>
        <w:t>Structure:</w:t>
      </w:r>
      <w:r>
        <w:t xml:space="preserve"> Initial 12-month term with a standard 30-day termination clause.</w:t>
      </w:r>
    </w:p>
    <w:p>
      <w:pPr>
        <w:pStyle w:val="ListBullet2"/>
      </w:pPr>
      <w:r>
        <w:rPr>
          <w:b/>
        </w:rPr>
        <w:t>Rationale:</w:t>
      </w:r>
      <w:r>
        <w:t xml:space="preserve"> Provides a stable, long-term framework for ongoing strategic work while minimizing risk by capping exposure to a short 30-day window.</w:t>
      </w:r>
    </w:p>
    <w:p>
      <w:pPr>
        <w:pStyle w:val="ListBullet"/>
      </w:pPr>
      <w:r>
        <w:rPr>
          <w:b/>
        </w:rPr>
        <w:t>Option B: 6-Month Initial Term</w:t>
      </w:r>
    </w:p>
    <w:p>
      <w:pPr>
        <w:pStyle w:val="ListBullet2"/>
      </w:pPr>
      <w:r>
        <w:rPr>
          <w:b/>
        </w:rPr>
        <w:t>Structure:</w:t>
      </w:r>
      <w:r>
        <w:t xml:space="preserve"> Initial 6-month term with an option for a 6-month extension.</w:t>
      </w:r>
    </w:p>
    <w:p>
      <w:pPr>
        <w:pStyle w:val="ListBullet2"/>
      </w:pPr>
      <w:r>
        <w:rPr>
          <w:b/>
        </w:rPr>
        <w:t>Rationale:</w:t>
      </w:r>
      <w:r>
        <w:t xml:space="preserve"> Creates an effective trial period, but may constrain the scope and type of possible projects due to the short timeframe.</w:t>
      </w:r>
    </w:p>
    <w:p>
      <w:pPr>
        <w:jc w:val="both"/>
      </w:pPr>
      <w:r>
        <w:rPr>
          <w:b/>
        </w:rPr>
        <w:t>Fee Calculations</w:t>
      </w:r>
    </w:p>
    <w:p>
      <w:pPr>
        <w:jc w:val="both"/>
      </w:pPr>
      <w:r>
        <w:t>| Item                                   | Value                          |</w:t>
      </w:r>
    </w:p>
    <w:p>
      <w:pPr>
        <w:jc w:val="both"/>
      </w:pPr>
      <w:r>
        <w:t>| -------------------------------------- | ------------------------------ |</w:t>
      </w:r>
    </w:p>
    <w:p>
      <w:pPr>
        <w:jc w:val="both"/>
      </w:pPr>
      <w:r>
        <w:t>| Comparable FTE total cash compensation | 300,000 USD                    |</w:t>
      </w:r>
    </w:p>
    <w:p>
      <w:pPr>
        <w:jc w:val="both"/>
      </w:pPr>
      <w:r>
        <w:t>| Average working days per annum         | 230 days                       |</w:t>
      </w:r>
    </w:p>
    <w:p>
      <w:pPr>
        <w:jc w:val="both"/>
      </w:pPr>
      <w:r>
        <w:t>| Comparable FTE per diem                | 1,304 USD                      |</w:t>
      </w:r>
    </w:p>
    <w:p>
      <w:pPr>
        <w:jc w:val="both"/>
      </w:pPr>
      <w:r>
        <w:t>| Self-employment taxes and insurance    | ~7.5%                          |</w:t>
      </w:r>
    </w:p>
    <w:p>
      <w:pPr>
        <w:jc w:val="both"/>
      </w:pPr>
      <w:r>
        <w:t>| Business expenses, including travel    | ~20%                           |</w:t>
      </w:r>
    </w:p>
    <w:p>
      <w:pPr>
        <w:jc w:val="both"/>
      </w:pPr>
      <w:r>
        <w:t>| Utilization risk                       | covered by the retainer        |</w:t>
      </w:r>
    </w:p>
    <w:p>
      <w:pPr>
        <w:jc w:val="both"/>
      </w:pPr>
      <w:r>
        <w:t>| AI Strategist per diem                 | 1,663 USD rounded to 1,700 USD |</w:t>
      </w:r>
    </w:p>
    <w:p>
      <w:pPr>
        <w:pStyle w:val="Heading2"/>
      </w:pPr>
      <w:r>
        <w:t>Support Needed</w:t>
      </w:r>
    </w:p>
    <w:p>
      <w:pPr>
        <w:jc w:val="both"/>
      </w:pPr>
      <w:r>
        <w:t>To successfully execute this engagement and integrate securely with Lumina Systems' operations, the following administrative and logistical support will be required:</w:t>
      </w:r>
    </w:p>
    <w:p>
      <w:pPr>
        <w:pStyle w:val="ListBullet"/>
      </w:pPr>
      <w:r>
        <w:t>Lumina Systems corporate email address and network credentials.</w:t>
      </w:r>
    </w:p>
    <w:p>
      <w:pPr>
        <w:pStyle w:val="ListBullet"/>
      </w:pPr>
      <w:r>
        <w:t>Lumina-issued contractor laptop to ensure data security and compliance.</w:t>
      </w:r>
    </w:p>
    <w:p>
      <w:pPr>
        <w:pStyle w:val="ListBullet"/>
      </w:pPr>
      <w:r>
        <w:t>Access to enterprise software accounts (e.g., Azure AI Studio, Jira Enterprise).</w:t>
      </w:r>
    </w:p>
    <w:p>
      <w:pPr>
        <w:pStyle w:val="ListBullet"/>
      </w:pPr>
      <w:r>
        <w:t>Weekly access to the Strategic Operations &amp; Innovation leadership team.</w:t>
      </w:r>
    </w:p>
    <w:p>
      <w:pPr>
        <w:pStyle w:val="Heading2"/>
      </w:pPr>
      <w:r>
        <w:t>Clarifications and Modifications</w:t>
      </w:r>
    </w:p>
    <w:p>
      <w:pPr>
        <w:jc w:val="both"/>
      </w:pPr>
      <w:r>
        <w:t>My contact information is provided below. Any clarifications or modifications regarding the scope, fees, or operating model will be discussed directly between me and the Lumina Systems contract owner to ensure complete mutual understanding and a seamless partnership.</w:t>
      </w:r>
    </w:p>
    <w:p>
      <w:pPr>
        <w:pStyle w:val="ListBullet"/>
      </w:pPr>
      <w:r>
        <w:t>Name: Jane Smith</w:t>
      </w:r>
    </w:p>
    <w:p>
      <w:pPr>
        <w:pStyle w:val="ListBullet"/>
      </w:pPr>
      <w:r>
        <w:t>Mobile: +1 (555) 123-4567</w:t>
      </w:r>
    </w:p>
    <w:p>
      <w:pPr>
        <w:pStyle w:val="ListBullet"/>
      </w:pPr>
      <w:r>
        <w:t>Email: jane.smith@example.com</w:t>
      </w:r>
    </w:p>
    <w:p>
      <w:pPr>
        <w:pStyle w:val="Heading2"/>
      </w:pPr>
      <w:r>
        <w:t>Outstanding Questions</w:t>
      </w:r>
    </w:p>
    <w:p>
      <w:pPr>
        <w:jc w:val="both"/>
      </w:pPr>
      <w:r>
        <w:t>To facilitate a prompt commencement of our work, I have a few remaining questions regarding logistics:</w:t>
      </w:r>
    </w:p>
    <w:p>
      <w:pPr>
        <w:pStyle w:val="ListBullet"/>
      </w:pPr>
      <w:r>
        <w:t>Can the Lumina standard vendor agreement be modified to accommodate an individual advisory role, and what is the process to initiate it?</w:t>
      </w:r>
    </w:p>
    <w:p>
      <w:pPr>
        <w:pStyle w:val="ListBullet"/>
      </w:pPr>
      <w:r>
        <w:t>Is the proposed start date of June 1st still aligned with your internal timelines?</w:t>
      </w:r>
    </w:p>
    <w:p>
      <w:pPr>
        <w:pStyle w:val="ListBullet"/>
      </w:pPr>
      <w:r>
        <w:t>Who should be identified as the primary points of contact for the Supply Chain blueprint workstream?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