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 Senior Advisory Engagement for Lumina Systems</w:t>
      </w:r>
    </w:p>
    <w:p>
      <w:pPr>
        <w:pStyle w:val="Heading2"/>
      </w:pPr>
      <w:r>
        <w:t>Context and Objective</w:t>
      </w:r>
    </w:p>
    <w:p>
      <w:pPr>
        <w:jc w:val="both"/>
      </w:pPr>
      <w:r>
        <w:t>It is my privilege to present this proposal to support Lumina Systems in navigating the complex transition toward an AI-integrated operational model. As we discussed with Sarah Jenkins, the emergence of generative intelligence creates a fundamental imperative to re-evaluate both your underlying technical infrastructure and your core operational workflows. My role as Senior Strategic Advisor will focus on two foundational workstreams: conducting a rigorous AI Infrastructure Readiness audit and architecting Operational Efficiency Blueprints. For the infrastructure assessment, we will evaluate your legacy data pipelines and compute capacity to determine the feasibility of high-scale LLM integration. Simultaneously, we will develop detailed blueprints for the Global Supply Chain unit, defining the future strategy and technology stacks required to drive sustained competitive advantage in a rapidly evolving market.</w:t>
      </w:r>
    </w:p>
    <w:p>
      <w:pPr>
        <w:pStyle w:val="Heading2"/>
      </w:pPr>
      <w:r>
        <w:t>Operating Principles</w:t>
      </w:r>
    </w:p>
    <w:p>
      <w:pPr>
        <w:jc w:val="both"/>
      </w:pPr>
      <w:r>
        <w:t>My partnership model is built upon deep integration with your leadership team and a shared commitment to actionable outcomes. I will operate as a direct thought partner to the Strategic Operations &amp; Innovation group, ensuring that our strategic perspectives are grounded in the practical realities of Lumina’s technical environment. We will maintain a rigorous pace, moving from high-level strategic focus to concrete execution options—such as specific regional playbooks or unit-specific blueprints—to stress-test our hypotheses in real-world scenarios. This collaborative approach ensures that the final deliverables are not merely theoretical documents but serve as a robust foundation for long-term implementation.</w:t>
      </w:r>
    </w:p>
    <w:p>
      <w:pPr>
        <w:pStyle w:val="Heading2"/>
      </w:pPr>
      <w:r>
        <w:t>Value and Impact</w:t>
      </w:r>
    </w:p>
    <w:p>
      <w:pPr>
        <w:jc w:val="both"/>
      </w:pPr>
      <w:r>
        <w:t>The ultimate value of this engagement lies in providing Lumina Systems with a clear, de-risked path toward AI maturity. By identifying infrastructure bottlenecks early and architecting scalable operational playbooks, we will significantly reduce the friction and cost associated with enterprise-wide AI adoption. Success will be defined by the delivery of a technical roadmap that allows Lumina to confidently allocate capital toward high-impact AI initiatives and the creation of operational frameworks that drive measurable efficiency gains across the supply chain.</w:t>
      </w:r>
    </w:p>
    <w:p>
      <w:pPr>
        <w:pStyle w:val="Heading2"/>
      </w:pPr>
      <w:r>
        <w:t>Professional Fees</w:t>
      </w:r>
    </w:p>
    <w:p>
      <w:pPr>
        <w:jc w:val="both"/>
      </w:pPr>
      <w:r>
        <w:t>To ensure the flexibility required for a high-value advisory relationship, I have outlined two distinct fee structures and timeline options for your consideration.</w:t>
      </w:r>
    </w:p>
    <w:p>
      <w:pPr>
        <w:jc w:val="both"/>
      </w:pPr>
      <w:r>
        <w:rPr>
          <w:b/>
        </w:rPr>
        <w:t>Fee Structure Options:</w:t>
      </w:r>
    </w:p>
    <w:p>
      <w:pPr>
        <w:pStyle w:val="ListBullet"/>
      </w:pPr>
      <w:r>
        <w:rPr>
          <w:b/>
        </w:rPr>
        <w:t>Option 1: Retainer + Per Diem (Recommended)</w:t>
      </w:r>
    </w:p>
    <w:p>
      <w:pPr>
        <w:pStyle w:val="ListBullet2"/>
      </w:pPr>
      <w:r>
        <w:rPr>
          <w:b/>
        </w:rPr>
        <w:t>Structure:</w:t>
      </w:r>
      <w:r>
        <w:t xml:space="preserve"> $8,000 USD monthly retainer plus $4,000 USD per day for project-specific execution.</w:t>
      </w:r>
    </w:p>
    <w:p>
      <w:pPr>
        <w:pStyle w:val="ListBullet2"/>
      </w:pPr>
      <w:r>
        <w:rPr>
          <w:b/>
        </w:rPr>
        <w:t>Rationale:</w:t>
      </w:r>
      <w:r>
        <w:t xml:space="preserve"> This model provides the highest degree of flexibility, allowing us to scale my involvement based on current demand and project complexity without the administrative friction of milestone renegotiation.</w:t>
      </w:r>
    </w:p>
    <w:p>
      <w:pPr>
        <w:pStyle w:val="ListBullet"/>
      </w:pPr>
      <w:r>
        <w:rPr>
          <w:b/>
        </w:rPr>
        <w:t>Option 2: Deliverable and Performance-Based</w:t>
      </w:r>
    </w:p>
    <w:p>
      <w:pPr>
        <w:pStyle w:val="ListBullet2"/>
      </w:pPr>
      <w:r>
        <w:rPr>
          <w:b/>
        </w:rPr>
        <w:t>Structure:</w:t>
      </w:r>
      <w:r>
        <w:t xml:space="preserve"> $8,000 USD monthly retainer plus approximately $100,000 USD per specific deliverable (each representing ~3 months of work).</w:t>
      </w:r>
    </w:p>
    <w:p>
      <w:pPr>
        <w:pStyle w:val="ListBullet2"/>
      </w:pPr>
      <w:r>
        <w:rPr>
          <w:b/>
        </w:rPr>
        <w:t>Rationale:</w:t>
      </w:r>
      <w:r>
        <w:t xml:space="preserve"> This structure ties compensation directly to specific work products, such as the Infrastructure Readiness Audit or the Operational Efficiency Roadmap, though it requires more rigid upfront definition of completion criteria.</w:t>
      </w:r>
    </w:p>
    <w:p>
      <w:pPr>
        <w:jc w:val="both"/>
      </w:pPr>
      <w:r>
        <w:rPr>
          <w:b/>
        </w:rPr>
        <w:t>Contract Term Options:</w:t>
      </w:r>
    </w:p>
    <w:p>
      <w:pPr>
        <w:pStyle w:val="ListBullet"/>
      </w:pPr>
      <w:r>
        <w:rPr>
          <w:b/>
        </w:rPr>
        <w:t>Option A: 12-Month Term (Recommended)</w:t>
      </w:r>
    </w:p>
    <w:p>
      <w:pPr>
        <w:pStyle w:val="ListBullet2"/>
      </w:pPr>
      <w:r>
        <w:rPr>
          <w:b/>
        </w:rPr>
        <w:t>Structure:</w:t>
      </w:r>
      <w:r>
        <w:t xml:space="preserve"> Initial 12-month term with a standard 30-day termination clause.</w:t>
      </w:r>
    </w:p>
    <w:p>
      <w:pPr>
        <w:pStyle w:val="ListBullet2"/>
      </w:pPr>
      <w:r>
        <w:rPr>
          <w:b/>
        </w:rPr>
        <w:t>Rationale:</w:t>
      </w:r>
      <w:r>
        <w:t xml:space="preserve"> Provides the stability needed for long-term strategic planning while maintaining minimal risk for Lumina through the short-term termination provision.</w:t>
      </w:r>
    </w:p>
    <w:p>
      <w:pPr>
        <w:pStyle w:val="ListBullet"/>
      </w:pPr>
      <w:r>
        <w:rPr>
          <w:b/>
        </w:rPr>
        <w:t>Option B: 6-Month Initial Term</w:t>
      </w:r>
    </w:p>
    <w:p>
      <w:pPr>
        <w:pStyle w:val="ListBullet2"/>
      </w:pPr>
      <w:r>
        <w:rPr>
          <w:b/>
        </w:rPr>
        <w:t>Structure:</w:t>
      </w:r>
      <w:r>
        <w:t xml:space="preserve"> Initial 6-month term with an option for a 6-month extension.</w:t>
      </w:r>
    </w:p>
    <w:p>
      <w:pPr>
        <w:pStyle w:val="ListBullet2"/>
      </w:pPr>
      <w:r>
        <w:rPr>
          <w:b/>
        </w:rPr>
        <w:t>Rationale:</w:t>
      </w:r>
      <w:r>
        <w:t xml:space="preserve"> Offers a natural checkpoint for evaluation but may constrain the scope of the second-phase implementation support.</w:t>
      </w:r>
    </w:p>
    <w:p>
      <w:pPr>
        <w:pStyle w:val="Heading2"/>
      </w:pPr>
      <w:r>
        <w:t>Support Needed</w:t>
      </w:r>
    </w:p>
    <w:p>
      <w:pPr>
        <w:jc w:val="both"/>
      </w:pPr>
      <w:r>
        <w:t>To facilitate a seamless integration and ensure the security of Lumina Systems' data, the following administrative support will be required:</w:t>
      </w:r>
    </w:p>
    <w:p>
      <w:pPr>
        <w:pStyle w:val="ListBullet"/>
      </w:pPr>
      <w:r>
        <w:t>Lumina Systems credentials and corporate email address.</w:t>
      </w:r>
    </w:p>
    <w:p>
      <w:pPr>
        <w:pStyle w:val="ListBullet"/>
      </w:pPr>
      <w:r>
        <w:t>Lumina-issued contractor laptop to maintain compliance with internal security protocols.</w:t>
      </w:r>
    </w:p>
    <w:p>
      <w:pPr>
        <w:pStyle w:val="ListBullet"/>
      </w:pPr>
      <w:r>
        <w:t>Access to enterprise software accounts, specifically Azure AI Studio and Jira Enterprise.</w:t>
      </w:r>
    </w:p>
    <w:p>
      <w:pPr>
        <w:pStyle w:val="ListBullet"/>
      </w:pPr>
      <w:r>
        <w:t>Regular access to the Strategic Operations &amp; Innovation leadership team.</w:t>
      </w:r>
    </w:p>
    <w:p>
      <w:pPr>
        <w:pStyle w:val="Heading2"/>
      </w:pPr>
      <w:r>
        <w:t>Clarifications and Modifications</w:t>
      </w:r>
    </w:p>
    <w:p>
      <w:pPr>
        <w:jc w:val="both"/>
      </w:pPr>
      <w:r>
        <w:t>I am committed to ensuring that this partnership is perfectly aligned with Lumina Systems' strategic goals. Any clarifications or modifications regarding the scope of work, fee arrangements, or project timelines will be handled directly through the contract owner to ensure clarity and mutual agreement.</w:t>
      </w:r>
    </w:p>
    <w:p>
      <w:pPr>
        <w:pStyle w:val="Heading2"/>
      </w:pPr>
      <w:r>
        <w:t>Outstanding Questions</w:t>
      </w:r>
    </w:p>
    <w:p>
      <w:pPr>
        <w:jc w:val="both"/>
      </w:pPr>
      <w:r>
        <w:t>To move forward with the engagement, I have a few remaining questions regarding our next steps:</w:t>
      </w:r>
    </w:p>
    <w:p>
      <w:pPr>
        <w:pStyle w:val="ListBullet"/>
      </w:pPr>
      <w:r>
        <w:t>Can the Lumina standard vendor agreement be modified to accommodate an individual advisory role?</w:t>
      </w:r>
    </w:p>
    <w:p>
      <w:pPr>
        <w:pStyle w:val="ListBullet"/>
      </w:pPr>
      <w:r>
        <w:t>Is the proposed start date of June 1st still aligned with your internal timelines?</w:t>
      </w:r>
    </w:p>
    <w:p>
      <w:pPr>
        <w:pStyle w:val="ListBullet"/>
      </w:pPr>
      <w:r>
        <w:t>Who should be identified as the primary points of contact for the Supply Chain blueprint workstream?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