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Evolution of AI Forward Deployed Engineering (FDE)</w:t>
      </w:r>
    </w:p>
    <w:p>
      <w:pPr>
        <w:jc w:val="left"/>
      </w:pPr>
      <w:r>
        <w:rPr>
          <w:b/>
        </w:rPr>
        <w:t>Author:</w:t>
      </w:r>
      <w:r>
        <w:t xml:space="preserve"> Tiger Huang</w:t>
      </w:r>
    </w:p>
    <w:p>
      <w:pPr>
        <w:jc w:val="left"/>
      </w:pPr>
      <w:r>
        <w:rPr>
          <w:b/>
        </w:rPr>
        <w:t>Date:</w:t>
      </w:r>
      <w:r>
        <w:t xml:space="preserve"> May 2026</w:t>
      </w:r>
    </w:p>
    <w:p>
      <w:pPr>
        <w:jc w:val="left"/>
      </w:pPr>
      <w:r>
        <w:rPr>
          <w:b/>
        </w:rPr>
        <w:t>Classification:</w:t>
      </w:r>
      <w:r>
        <w:t xml:space="preserve"> AI Strategy Memo</w:t>
      </w:r>
    </w:p>
    <w:p>
      <w:pPr>
        <w:jc w:val="left"/>
      </w:pPr>
      <w:r>
        <w:rPr>
          <w:b/>
        </w:rPr>
        <w:t>Audience:</w:t>
      </w:r>
      <w:r>
        <w:t xml:space="preserve"> Enterprise AI Leaders, Executives, Investors</w:t>
      </w:r>
    </w:p>
    <w:p>
      <w:pPr>
        <w:pStyle w:val="Heading2"/>
      </w:pPr>
      <w:r>
        <w:t>Executive Summary</w:t>
      </w:r>
    </w:p>
    <w:p>
      <w:pPr>
        <w:jc w:val="left"/>
      </w:pPr>
      <w:r>
        <w:t>The enterprise AI market in 2026 is not a model competition—it is a deployment competition. Foundation model capabilities across OpenAI, Anthropic, and Google DeepMind have converged to a level where differentiation no longer lives inside the model weights. It lives in the field, within the messy, highly-constrained reality of a Fortune 500's legacy IT infrastructure.</w:t>
      </w:r>
    </w:p>
    <w:p>
      <w:pPr>
        <w:jc w:val="left"/>
      </w:pPr>
      <w:r>
        <w:t>This convergence has triggered an unprecedented land grab: OpenAI has formalized a $4B+ standalone Deployment Company, accelerated by the acquisition of Tomoro. Anthropic has announced a similar Joint Venture and embedded dedicated Applied AI engineering pods inside strategic accounts. Google Cloud is radically restructuring its Forward Deployed Engineering (FDE) organization in May 2026. Palantir—the original inventor of the FDE model—continues to refine a deployment machine it has honed over fifteen years of high-stakes government and enterprise engagements. C3 AI, another early adopter of FDE, has issued a mandate that all engineers and data scientists work directly with customers.</w:t>
      </w:r>
    </w:p>
    <w:p>
      <w:pPr>
        <w:jc w:val="left"/>
      </w:pPr>
      <w:r>
        <w:t>The commercial driver behind this movement is a fundamental operational realization: there is a gap between AI platforms or foundation models and complex corporate workflows. You cannot simply hand a Fortune 500 Chief Data Officer an API key and call the engagement complete. The gap between raw model capability and durable business outcomes requires skilled, embedded, hands-on engineering intervention—and lots of it.</w:t>
      </w:r>
    </w:p>
    <w:p>
      <w:pPr>
        <w:jc w:val="left"/>
      </w:pPr>
      <w:r>
        <w:t>As a result, at deployment-native organizations—Palantir, C3 AI, and the wave of AI startups built around enterprise production work—FDE teams comprise 30–40% of total headcount. Traditional SaaS economics—where implementation costs are a one-time nuisance—are being fundamentally disrupted by teams that are not temporary implementation crews, but permanent operational partners embedded for months or years. Understanding the structure, strategy, and limitations of these teams is now a prerequisite for any organization deploying AI at scale.</w:t>
      </w:r>
    </w:p>
    <w:p>
      <w:pPr>
        <w:jc w:val="left"/>
      </w:pPr>
      <w:r>
        <w:t>This memo provides a practitioner-level analysis of the FDE landscape across the five most prominent players, and a framework for the ideal team setup and operating model.</w:t>
      </w:r>
    </w:p>
    <w:p>
      <w:pPr>
        <w:pStyle w:val="Heading2"/>
      </w:pPr>
      <w:r>
        <w:t>1. The Origins and Definition of AI Forward Deployed Engineering</w:t>
      </w:r>
    </w:p>
    <w:p>
      <w:pPr>
        <w:jc w:val="left"/>
      </w:pPr>
      <w:r>
        <w:t>The gap between what AI platforms promise and what enterprise organizations actually achieve is not primarily a model-quality problem. It is an integration, trust, and operationalization problem. Enterprise data resides in fragmented legacy environments—historians, relational databases, on-premise data warehouses, proprietary cloud silos—that were never designed to interface with modern LLM APIs. Business workflows are embedded in organizational politics, security review boards, and decades of technical debt. A raw foundation model, regardless of its benchmark scores, cannot navigate this reality alone.</w:t>
      </w:r>
    </w:p>
    <w:p>
      <w:pPr>
        <w:jc w:val="left"/>
      </w:pPr>
      <w:r>
        <w:t>Forward Deployed Engineering emerged as the answer to this gap: a specialized, customer-embedded technical function that operates between the platform and the outcome—building, configuring, and proving AI systems directly on live client data, under real operational constraints.</w:t>
      </w:r>
    </w:p>
    <w:p>
      <w:pPr>
        <w:jc w:val="left"/>
      </w:pPr>
      <w:r>
        <w:t>Palantir Technologies is the acknowledged architect of the modern FDE model. Beginning with its government intelligence contracts in the early 2010s, Palantir recognized that its platforms—Gotham, Foundry, and eventually AIP—were powerful but fundamentally required hands-on orchestration to deliver value within legacy data ecosystems. The solution was to embed elite software engineers directly with clients, not to perform standard post-sales support, but to build production-grade, mission-critical workflows on live data. This "zero-to-one value creation" approach, executed on-site under genuine operational pressure, became the defining feature of the Palantir FDE model.</w:t>
      </w:r>
    </w:p>
    <w:p>
      <w:pPr>
        <w:jc w:val="left"/>
      </w:pPr>
      <w:r>
        <w:t>C3 AI adapted and expanded this model for industrial-scale enterprise AI. Focused on highly specialized domains—predictive maintenance, supply chain optimization, and yield optimization—C3 AI recognized that bridging legacy industrial data to AI models was an exceptionally complex data science problem, not merely a software integration challenge. Their response was to push data scientists to the front lines alongside engineers, creating a dual technical force embedded with customers.</w:t>
      </w:r>
    </w:p>
    <w:p>
      <w:pPr>
        <w:jc w:val="left"/>
      </w:pPr>
      <w:r>
        <w:t>The most strategically important contribution of the FDE model is not simply that it delivers value to individual customers. It is that it industrializes customer-specific builds into generalized platform capabilities. By working directly inside client systems under real-world constraints, FDEs encounter integration friction, data quality issues, and edge cases that no internal product team could anticipate from behind a desk. These field insights feed back into core R&amp;D, converting bespoke solutions into scalable APIs, SDKs, and native product features. The FDE team is simultaneously a delivery mechanism, a product intelligence function, and a competitive moat.</w:t>
      </w:r>
    </w:p>
    <w:p>
      <w:pPr>
        <w:jc w:val="left"/>
      </w:pPr>
      <w:r>
        <w:t>This "Build-Prove-Generalize" loop is the structural reason why the most sophisticated AI companies are investing so heavily in deployment capacity: it is the only reliable mechanism to convert foundation model capability into durable, defensible platform value.</w:t>
      </w:r>
    </w:p>
    <w:p>
      <w:pPr>
        <w:pStyle w:val="Heading2"/>
      </w:pPr>
      <w:r>
        <w:t>2. Competitive Landscape: Five Distinct Deployment Models</w:t>
      </w:r>
    </w:p>
    <w:p>
      <w:pPr>
        <w:jc w:val="left"/>
      </w:pPr>
      <w:r>
        <w:t>All major AI companies have now organized their FDE functions within their Go-To-Market (GTM) branch. While this ensures commercial alignment, it also creates a persistent management tension—highly technical teams measured on delivery outcomes being managed by leaders whose primary orientation is revenue quota.</w:t>
      </w:r>
    </w:p>
    <w:p>
      <w:pPr>
        <w:pStyle w:val="Heading3"/>
      </w:pPr>
      <w:r>
        <w:t>Palantir: The Ontology-Driven Blueprint</w:t>
      </w:r>
    </w:p>
    <w:p>
      <w:pPr>
        <w:jc w:val="left"/>
      </w:pPr>
      <w:r>
        <w:t xml:space="preserve">Palantir continues to structure its customer-facing units around three overlapping archetypes: </w:t>
      </w:r>
      <w:r>
        <w:rPr>
          <w:b/>
        </w:rPr>
        <w:t>Deltas</w:t>
      </w:r>
      <w:r>
        <w:t xml:space="preserve"> (Forward Deployed Engineers), </w:t>
      </w:r>
      <w:r>
        <w:rPr>
          <w:b/>
        </w:rPr>
        <w:t>Echos</w:t>
      </w:r>
      <w:r>
        <w:t xml:space="preserve"> (Deployment Strategists), and </w:t>
      </w:r>
      <w:r>
        <w:rPr>
          <w:b/>
        </w:rPr>
        <w:t>Devs</w:t>
      </w:r>
      <w:r>
        <w:t xml:space="preserve"> (Core Platform Engineers). The Delta-Echo pairing is Palantir's most distinctive structural choice. Echos—drawn from the ranks of elite ex-MBB consultants, former product managers, and domain experts—operate as the strategic integration layer, translating executive objectives into technical requirements for Deltas, managing stakeholder politics, and demonstrating economic value to senior decision-makers.</w:t>
      </w:r>
    </w:p>
    <w:p>
      <w:pPr>
        <w:jc w:val="left"/>
      </w:pPr>
      <w:r>
        <w:t>Palantir's deployment philosophy is ontology-driven: rather than building bespoke data pipelines for every client from scratch, FDEs map legacy data structures to Palantir's standardized platform ontology, accelerating integration speed and enabling reuse across engagements. This is an elegant architectural choice that scales well; however, customers with complex AI problem statements—such as semiconductor pricing optimization or scientific simulation workflows—consistently report that the ontology-driven approach does not resolve the underlying AI problem.</w:t>
      </w:r>
    </w:p>
    <w:p>
      <w:pPr>
        <w:pStyle w:val="Heading3"/>
      </w:pPr>
      <w:r>
        <w:t>C3 AI: The Data Science-First Approach</w:t>
      </w:r>
    </w:p>
    <w:p>
      <w:pPr>
        <w:jc w:val="left"/>
      </w:pPr>
      <w:r>
        <w:t xml:space="preserve">C3 AI's most radical departure from the Palantir blueprint is the </w:t>
      </w:r>
      <w:r>
        <w:rPr>
          <w:b/>
        </w:rPr>
        <w:t>Forward Deployed Data Scientist (FDDS)</w:t>
      </w:r>
      <w:r>
        <w:t>—a production data scientist embedded directly with customers to tackle the ML problem statement, not merely the data integration challenge. Where Palantir relies on platform schemas to handle AI complexity, C3 AI brings the mathematical expertise to the client site.</w:t>
      </w:r>
    </w:p>
    <w:p>
      <w:pPr>
        <w:jc w:val="left"/>
      </w:pPr>
      <w:r>
        <w:t xml:space="preserve">This approach delivers exceptional outcomes. The FDDS translates ambiguous business problems into precise ML objectives, trains and evaluates models against live data, and explains complex model behavior to non-technical stakeholders. Combined with the </w:t>
      </w:r>
      <w:r>
        <w:rPr>
          <w:b/>
        </w:rPr>
        <w:t>AI Solution Manager</w:t>
      </w:r>
      <w:r>
        <w:t xml:space="preserve"> role—a hybrid technical strategist managing economic value, stakeholder alignment, and roadmap coordination—C3 AI's three-part pod (FDE + FDDS + AI Solution Manager) is arguably the most comprehensive deployment unit in the market.</w:t>
      </w:r>
    </w:p>
    <w:p>
      <w:pPr>
        <w:jc w:val="left"/>
      </w:pPr>
      <w:r>
        <w:t>The trade-off is stark: this model is exceptionally expensive, labor-intensive, and non-scalable. Deploying senior data scientists on every customer engagement is a high-fidelity, cost-intensive strategy. It succeeds technically but strains the economics of the software business, creating the precise profitability dilemma detailed in Section 3.</w:t>
      </w:r>
    </w:p>
    <w:p>
      <w:pPr>
        <w:pStyle w:val="Heading3"/>
      </w:pPr>
      <w:r>
        <w:t>OpenAI: The Formalized Deployment Machine</w:t>
      </w:r>
    </w:p>
    <w:p>
      <w:pPr>
        <w:jc w:val="left"/>
      </w:pPr>
      <w:r>
        <w:t xml:space="preserve">OpenAI's FDE trajectory is the market's most dramatic evolution. Starting in 2023 with a cohort of just two engineers embedded inside customer organizations, the function scaled to over fifty engineers within a year. By May 2026, it was formalized as the </w:t>
      </w:r>
      <w:r>
        <w:rPr>
          <w:b/>
        </w:rPr>
        <w:t>OpenAI Deployment Company</w:t>
      </w:r>
      <w:r>
        <w:t>—a standalone business unit backed by over $4 billion and accelerated by the acquisition of enterprise transformation firm Tomoro.</w:t>
      </w:r>
    </w:p>
    <w:p>
      <w:pPr>
        <w:jc w:val="left"/>
      </w:pPr>
      <w:r>
        <w:t xml:space="preserve">This organizational structure now encompasses four distinct profiles: Deployment Engineers (FDEs) who build production-grade agentic systems and prompt chains; Applied AI Researchers who perform domain-specific model fine-tuning; Business Transformation Strategists from the Tomoro acquisition who specialize in organizational redesign and labor-substitution economics; and the newly introduced </w:t>
      </w:r>
      <w:r>
        <w:rPr>
          <w:b/>
        </w:rPr>
        <w:t>AI Deployment Manager (ADM)</w:t>
      </w:r>
      <w:r>
        <w:t xml:space="preserve"> within the Technical Success Group.</w:t>
      </w:r>
    </w:p>
    <w:p>
      <w:pPr>
        <w:jc w:val="left"/>
      </w:pPr>
      <w:r>
        <w:t>The ADM role is the market's clearest signal of intent. OpenAI is aggressively recruiting the elite tier-1 hybrid strategist profile—specifically targeting Palantir "Echo" and C3 AI "AI Solution Manager" talent—to lead its highest-stakes enterprise integrations. This poaching pattern confirms that OpenAI has concluded that technical engineering capability alone is insufficient; managing the complex organizational, political, and economic dimensions of enterprise AI adoption requires dedicated strategic leadership.</w:t>
      </w:r>
    </w:p>
    <w:p>
      <w:pPr>
        <w:pStyle w:val="Heading3"/>
      </w:pPr>
      <w:r>
        <w:t>Anthropic: The MLOps Specialist with a Structural Gap</w:t>
      </w:r>
    </w:p>
    <w:p>
      <w:pPr>
        <w:jc w:val="left"/>
      </w:pPr>
      <w:r>
        <w:t>Anthropic's FDE organization, operating within its Applied AI division, has built a highly competent technical force organized across two tracks: Applied AI FDEs who lead deep technical integration and agentic workflow development, and Solutions Architects (SAs) who drive cloud partner enablement and pre-sales architectural guidance through AWS Bedrock, Google Cloud Vertex AI, and Global System Integrators.</w:t>
      </w:r>
    </w:p>
    <w:p>
      <w:pPr>
        <w:jc w:val="left"/>
      </w:pPr>
      <w:r>
        <w:t>The FDE profile Anthropic targets is rigorous: elite software engineers with deep MLOps expertise, a founder mindset, and the specific capability to deliver a working prototype within weeks of embedding with a client.</w:t>
      </w:r>
    </w:p>
    <w:p>
      <w:pPr>
        <w:jc w:val="left"/>
      </w:pPr>
      <w:r>
        <w:t>The structural weakness is visible: Anthropic has been slow to hire a dedicated business-technical strategist role. Without an equivalent of the Palantir Echo or C3 AI AI Solution Manager, Anthropic's FDE pods lack the strategic air cover required to navigate executive stakeholder complexity, define economic value roadmaps, and manage the organizational change friction that inevitably accompanies large-scale AI adoption. This is not a minor gap—it is a deployment risk, particularly in highly political, heavily regulated enterprise environments where technical excellence alone does not move budget decisions.</w:t>
      </w:r>
    </w:p>
    <w:p>
      <w:pPr>
        <w:pStyle w:val="Heading3"/>
      </w:pPr>
      <w:r>
        <w:t>Google Cloud: The Slow Engineering Giant</w:t>
      </w:r>
    </w:p>
    <w:p>
      <w:pPr>
        <w:jc w:val="left"/>
      </w:pPr>
      <w:r>
        <w:t>Google Cloud's FDE story is the most complex, reflecting the structural challenges of deploying a startup-speed function inside a $100B+ cloud business. Google Cloud FDEs, embedded within the Applied AI organization, perform production-grade MLOps work inside client systems—building vector indexes, data pipelines, prompt orchestration layers, and custom Vertex AI integrations. Their technical work is distinguished from that of traditional Solutions Engineers (SEs), who focus on pre-sales prototypes and architectural guidance rather than production-grade code.</w:t>
      </w:r>
    </w:p>
    <w:p>
      <w:pPr>
        <w:jc w:val="left"/>
      </w:pPr>
      <w:r>
        <w:t xml:space="preserve">The internal tension lies with the </w:t>
      </w:r>
      <w:r>
        <w:rPr>
          <w:b/>
        </w:rPr>
        <w:t>AI Consultant</w:t>
      </w:r>
      <w:r>
        <w:t xml:space="preserve"> track. Initially positioned as high-level strategic advisors to guide enterprise GenAI rollouts, this role has been heavily constrained by Google's deeply entrenched engineering-dominated hierarchy. Without hands-on keyboard capability, AI Consultants are widely relegated to standard project management functions. They lack the technical credibility to command respect from Google's core engineering divisions or from the customer's technical teams, effectively reducing a strategic role to an administrative one.</w:t>
      </w:r>
    </w:p>
    <w:p>
      <w:pPr>
        <w:jc w:val="left"/>
      </w:pPr>
      <w:r>
        <w:t>The lesson is structural: in a deeply technical organization, advisory roles without technical spikes will consistently be subordinated to engineering judgment.</w:t>
      </w:r>
    </w:p>
    <w:p>
      <w:pPr>
        <w:pStyle w:val="Heading3"/>
      </w:pPr>
      <w:r>
        <w:t>Table 1: Company Comparison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Mar>
              <w:top w:w="80" w:type="dxa"/>
              <w:start w:w="80" w:type="dxa"/>
              <w:bottom w:w="80" w:type="dxa"/>
              <w:end w:w="80" w:type="dxa"/>
            </w:tcMar>
          </w:tcPr>
          <w:p>
            <w:pPr>
              <w:jc w:val="left"/>
            </w:pPr>
          </w:p>
        </w:tc>
        <w:tc>
          <w:tcPr>
            <w:tcW w:type="dxa" w:w="1560"/>
            <w:tcMar>
              <w:top w:w="80" w:type="dxa"/>
              <w:start w:w="80" w:type="dxa"/>
              <w:bottom w:w="80" w:type="dxa"/>
              <w:end w:w="80" w:type="dxa"/>
            </w:tcMar>
          </w:tcPr>
          <w:p>
            <w:pPr>
              <w:jc w:val="left"/>
            </w:pPr>
            <w:r>
              <w:rPr>
                <w:rFonts w:ascii="Arial" w:hAnsi="Arial"/>
                <w:b/>
                <w:sz w:val="20"/>
              </w:rPr>
              <w:t>Palantir</w:t>
            </w:r>
          </w:p>
        </w:tc>
        <w:tc>
          <w:tcPr>
            <w:tcW w:type="dxa" w:w="1560"/>
            <w:tcMar>
              <w:top w:w="80" w:type="dxa"/>
              <w:start w:w="80" w:type="dxa"/>
              <w:bottom w:w="80" w:type="dxa"/>
              <w:end w:w="80" w:type="dxa"/>
            </w:tcMar>
          </w:tcPr>
          <w:p>
            <w:pPr>
              <w:jc w:val="left"/>
            </w:pPr>
            <w:r>
              <w:rPr>
                <w:rFonts w:ascii="Arial" w:hAnsi="Arial"/>
                <w:b/>
                <w:sz w:val="20"/>
              </w:rPr>
              <w:t>C3 AI</w:t>
            </w:r>
          </w:p>
        </w:tc>
        <w:tc>
          <w:tcPr>
            <w:tcW w:type="dxa" w:w="1560"/>
            <w:tcMar>
              <w:top w:w="80" w:type="dxa"/>
              <w:start w:w="80" w:type="dxa"/>
              <w:bottom w:w="80" w:type="dxa"/>
              <w:end w:w="80" w:type="dxa"/>
            </w:tcMar>
          </w:tcPr>
          <w:p>
            <w:pPr>
              <w:jc w:val="left"/>
            </w:pPr>
            <w:r>
              <w:rPr>
                <w:rFonts w:ascii="Arial" w:hAnsi="Arial"/>
                <w:b/>
                <w:sz w:val="20"/>
              </w:rPr>
              <w:t>OpenAI</w:t>
            </w:r>
          </w:p>
        </w:tc>
        <w:tc>
          <w:tcPr>
            <w:tcW w:type="dxa" w:w="1560"/>
            <w:tcMar>
              <w:top w:w="80" w:type="dxa"/>
              <w:start w:w="80" w:type="dxa"/>
              <w:bottom w:w="80" w:type="dxa"/>
              <w:end w:w="80" w:type="dxa"/>
            </w:tcMar>
          </w:tcPr>
          <w:p>
            <w:pPr>
              <w:jc w:val="left"/>
            </w:pPr>
            <w:r>
              <w:rPr>
                <w:rFonts w:ascii="Arial" w:hAnsi="Arial"/>
                <w:b/>
                <w:sz w:val="20"/>
              </w:rPr>
              <w:t>Anthropic</w:t>
            </w:r>
          </w:p>
        </w:tc>
        <w:tc>
          <w:tcPr>
            <w:tcW w:type="dxa" w:w="1560"/>
            <w:tcMar>
              <w:top w:w="80" w:type="dxa"/>
              <w:start w:w="80" w:type="dxa"/>
              <w:bottom w:w="80" w:type="dxa"/>
              <w:end w:w="80" w:type="dxa"/>
            </w:tcMar>
          </w:tcPr>
          <w:p>
            <w:pPr>
              <w:jc w:val="left"/>
            </w:pPr>
            <w:r>
              <w:rPr>
                <w:rFonts w:ascii="Arial" w:hAnsi="Arial"/>
                <w:b/>
                <w:sz w:val="20"/>
              </w:rPr>
              <w:t>Google Cloud</w:t>
            </w:r>
          </w:p>
        </w:tc>
      </w:tr>
      <w:tr>
        <w:tc>
          <w:tcPr>
            <w:tcW w:type="dxa" w:w="1560"/>
            <w:tcMar>
              <w:top w:w="80" w:type="dxa"/>
              <w:start w:w="80" w:type="dxa"/>
              <w:bottom w:w="80" w:type="dxa"/>
              <w:end w:w="80" w:type="dxa"/>
            </w:tcMar>
          </w:tcPr>
          <w:p>
            <w:pPr>
              <w:jc w:val="left"/>
            </w:pPr>
            <w:r>
              <w:rPr>
                <w:rFonts w:ascii="Arial" w:hAnsi="Arial"/>
                <w:b/>
                <w:sz w:val="20"/>
              </w:rPr>
              <w:t>FDE Nomenclature</w:t>
            </w:r>
          </w:p>
        </w:tc>
        <w:tc>
          <w:tcPr>
            <w:tcW w:type="dxa" w:w="1560"/>
            <w:tcMar>
              <w:top w:w="80" w:type="dxa"/>
              <w:start w:w="80" w:type="dxa"/>
              <w:bottom w:w="80" w:type="dxa"/>
              <w:end w:w="80" w:type="dxa"/>
            </w:tcMar>
          </w:tcPr>
          <w:p>
            <w:pPr>
              <w:jc w:val="left"/>
            </w:pPr>
            <w:r>
              <w:rPr>
                <w:rFonts w:ascii="Arial" w:hAnsi="Arial"/>
                <w:sz w:val="20"/>
              </w:rPr>
              <w:t>Forward Deployed Engineer (Delta)</w:t>
            </w:r>
          </w:p>
        </w:tc>
        <w:tc>
          <w:tcPr>
            <w:tcW w:type="dxa" w:w="1560"/>
            <w:tcMar>
              <w:top w:w="80" w:type="dxa"/>
              <w:start w:w="80" w:type="dxa"/>
              <w:bottom w:w="80" w:type="dxa"/>
              <w:end w:w="80" w:type="dxa"/>
            </w:tcMar>
          </w:tcPr>
          <w:p>
            <w:pPr>
              <w:jc w:val="left"/>
            </w:pPr>
            <w:r>
              <w:rPr>
                <w:rFonts w:ascii="Arial" w:hAnsi="Arial"/>
                <w:sz w:val="20"/>
              </w:rPr>
              <w:t>Forward Deployed Engineer (FDE)</w:t>
            </w:r>
          </w:p>
        </w:tc>
        <w:tc>
          <w:tcPr>
            <w:tcW w:type="dxa" w:w="1560"/>
            <w:tcMar>
              <w:top w:w="80" w:type="dxa"/>
              <w:start w:w="80" w:type="dxa"/>
              <w:bottom w:w="80" w:type="dxa"/>
              <w:end w:w="80" w:type="dxa"/>
            </w:tcMar>
          </w:tcPr>
          <w:p>
            <w:pPr>
              <w:jc w:val="left"/>
            </w:pPr>
            <w:r>
              <w:rPr>
                <w:rFonts w:ascii="Arial" w:hAnsi="Arial"/>
                <w:sz w:val="20"/>
              </w:rPr>
              <w:t>Deployment Engineer (FDE)</w:t>
            </w:r>
          </w:p>
        </w:tc>
        <w:tc>
          <w:tcPr>
            <w:tcW w:type="dxa" w:w="1560"/>
            <w:tcMar>
              <w:top w:w="80" w:type="dxa"/>
              <w:start w:w="80" w:type="dxa"/>
              <w:bottom w:w="80" w:type="dxa"/>
              <w:end w:w="80" w:type="dxa"/>
            </w:tcMar>
          </w:tcPr>
          <w:p>
            <w:pPr>
              <w:jc w:val="left"/>
            </w:pPr>
            <w:r>
              <w:rPr>
                <w:rFonts w:ascii="Arial" w:hAnsi="Arial"/>
                <w:sz w:val="20"/>
              </w:rPr>
              <w:t>Forward Deployed Engineer (Applied AI)</w:t>
            </w:r>
          </w:p>
        </w:tc>
        <w:tc>
          <w:tcPr>
            <w:tcW w:type="dxa" w:w="1560"/>
            <w:tcMar>
              <w:top w:w="80" w:type="dxa"/>
              <w:start w:w="80" w:type="dxa"/>
              <w:bottom w:w="80" w:type="dxa"/>
              <w:end w:w="80" w:type="dxa"/>
            </w:tcMar>
          </w:tcPr>
          <w:p>
            <w:pPr>
              <w:jc w:val="left"/>
            </w:pPr>
            <w:r>
              <w:rPr>
                <w:rFonts w:ascii="Arial" w:hAnsi="Arial"/>
                <w:sz w:val="20"/>
              </w:rPr>
              <w:t>Forward Deployed Engineer (Applied AI)</w:t>
            </w:r>
          </w:p>
        </w:tc>
      </w:tr>
      <w:tr>
        <w:tc>
          <w:tcPr>
            <w:tcW w:type="dxa" w:w="1560"/>
            <w:tcMar>
              <w:top w:w="80" w:type="dxa"/>
              <w:start w:w="80" w:type="dxa"/>
              <w:bottom w:w="80" w:type="dxa"/>
              <w:end w:w="80" w:type="dxa"/>
            </w:tcMar>
          </w:tcPr>
          <w:p>
            <w:pPr>
              <w:jc w:val="left"/>
            </w:pPr>
            <w:r>
              <w:rPr>
                <w:rFonts w:ascii="Arial" w:hAnsi="Arial"/>
                <w:b/>
                <w:sz w:val="20"/>
              </w:rPr>
              <w:t>Field Data Scientists?</w:t>
            </w:r>
          </w:p>
        </w:tc>
        <w:tc>
          <w:tcPr>
            <w:tcW w:type="dxa" w:w="1560"/>
            <w:tcMar>
              <w:top w:w="80" w:type="dxa"/>
              <w:start w:w="80" w:type="dxa"/>
              <w:bottom w:w="80" w:type="dxa"/>
              <w:end w:w="80" w:type="dxa"/>
            </w:tcMar>
          </w:tcPr>
          <w:p>
            <w:pPr>
              <w:jc w:val="left"/>
            </w:pPr>
            <w:r>
              <w:rPr>
                <w:rFonts w:ascii="Arial" w:hAnsi="Arial"/>
                <w:sz w:val="20"/>
              </w:rPr>
              <w:t>No (Relies on platform ontology)</w:t>
            </w:r>
          </w:p>
        </w:tc>
        <w:tc>
          <w:tcPr>
            <w:tcW w:type="dxa" w:w="1560"/>
            <w:tcMar>
              <w:top w:w="80" w:type="dxa"/>
              <w:start w:w="80" w:type="dxa"/>
              <w:bottom w:w="80" w:type="dxa"/>
              <w:end w:w="80" w:type="dxa"/>
            </w:tcMar>
          </w:tcPr>
          <w:p>
            <w:pPr>
              <w:jc w:val="left"/>
            </w:pPr>
            <w:r>
              <w:rPr>
                <w:rFonts w:ascii="Arial" w:hAnsi="Arial"/>
                <w:sz w:val="20"/>
              </w:rPr>
              <w:t>Yes (FDDS on front line)</w:t>
            </w:r>
          </w:p>
        </w:tc>
        <w:tc>
          <w:tcPr>
            <w:tcW w:type="dxa" w:w="1560"/>
            <w:tcMar>
              <w:top w:w="80" w:type="dxa"/>
              <w:start w:w="80" w:type="dxa"/>
              <w:bottom w:w="80" w:type="dxa"/>
              <w:end w:w="80" w:type="dxa"/>
            </w:tcMar>
          </w:tcPr>
          <w:p>
            <w:pPr>
              <w:jc w:val="left"/>
            </w:pPr>
            <w:r>
              <w:rPr>
                <w:rFonts w:ascii="Arial" w:hAnsi="Arial"/>
                <w:sz w:val="20"/>
              </w:rPr>
              <w:t>Yes (Applied AI Researchers)</w:t>
            </w:r>
          </w:p>
        </w:tc>
        <w:tc>
          <w:tcPr>
            <w:tcW w:type="dxa" w:w="1560"/>
            <w:tcMar>
              <w:top w:w="80" w:type="dxa"/>
              <w:start w:w="80" w:type="dxa"/>
              <w:bottom w:w="80" w:type="dxa"/>
              <w:end w:w="80" w:type="dxa"/>
            </w:tcMar>
          </w:tcPr>
          <w:p>
            <w:pPr>
              <w:jc w:val="left"/>
            </w:pPr>
            <w:r>
              <w:rPr>
                <w:rFonts w:ascii="Arial" w:hAnsi="Arial"/>
                <w:sz w:val="20"/>
              </w:rPr>
              <w:t>No (Pure software/MLOps)</w:t>
            </w:r>
          </w:p>
        </w:tc>
        <w:tc>
          <w:tcPr>
            <w:tcW w:type="dxa" w:w="1560"/>
            <w:tcMar>
              <w:top w:w="80" w:type="dxa"/>
              <w:start w:w="80" w:type="dxa"/>
              <w:bottom w:w="80" w:type="dxa"/>
              <w:end w:w="80" w:type="dxa"/>
            </w:tcMar>
          </w:tcPr>
          <w:p>
            <w:pPr>
              <w:jc w:val="left"/>
            </w:pPr>
            <w:r>
              <w:rPr>
                <w:rFonts w:ascii="Arial" w:hAnsi="Arial"/>
                <w:sz w:val="20"/>
              </w:rPr>
              <w:t>No (Centralized support)</w:t>
            </w:r>
          </w:p>
        </w:tc>
      </w:tr>
      <w:tr>
        <w:tc>
          <w:tcPr>
            <w:tcW w:type="dxa" w:w="1560"/>
            <w:tcMar>
              <w:top w:w="80" w:type="dxa"/>
              <w:start w:w="80" w:type="dxa"/>
              <w:bottom w:w="80" w:type="dxa"/>
              <w:end w:w="80" w:type="dxa"/>
            </w:tcMar>
          </w:tcPr>
          <w:p>
            <w:pPr>
              <w:jc w:val="left"/>
            </w:pPr>
            <w:r>
              <w:rPr>
                <w:rFonts w:ascii="Arial" w:hAnsi="Arial"/>
                <w:b/>
                <w:sz w:val="20"/>
              </w:rPr>
              <w:t>Strategist Role</w:t>
            </w:r>
          </w:p>
        </w:tc>
        <w:tc>
          <w:tcPr>
            <w:tcW w:type="dxa" w:w="1560"/>
            <w:tcMar>
              <w:top w:w="80" w:type="dxa"/>
              <w:start w:w="80" w:type="dxa"/>
              <w:bottom w:w="80" w:type="dxa"/>
              <w:end w:w="80" w:type="dxa"/>
            </w:tcMar>
          </w:tcPr>
          <w:p>
            <w:pPr>
              <w:jc w:val="left"/>
            </w:pPr>
            <w:r>
              <w:rPr>
                <w:rFonts w:ascii="Arial" w:hAnsi="Arial"/>
                <w:sz w:val="20"/>
              </w:rPr>
              <w:t>Deployment Strategist (Echo)</w:t>
            </w:r>
          </w:p>
        </w:tc>
        <w:tc>
          <w:tcPr>
            <w:tcW w:type="dxa" w:w="1560"/>
            <w:tcMar>
              <w:top w:w="80" w:type="dxa"/>
              <w:start w:w="80" w:type="dxa"/>
              <w:bottom w:w="80" w:type="dxa"/>
              <w:end w:w="80" w:type="dxa"/>
            </w:tcMar>
          </w:tcPr>
          <w:p>
            <w:pPr>
              <w:jc w:val="left"/>
            </w:pPr>
            <w:r>
              <w:rPr>
                <w:rFonts w:ascii="Arial" w:hAnsi="Arial"/>
                <w:sz w:val="20"/>
              </w:rPr>
              <w:t>AI Solution Manager</w:t>
            </w:r>
          </w:p>
        </w:tc>
        <w:tc>
          <w:tcPr>
            <w:tcW w:type="dxa" w:w="1560"/>
            <w:tcMar>
              <w:top w:w="80" w:type="dxa"/>
              <w:start w:w="80" w:type="dxa"/>
              <w:bottom w:w="80" w:type="dxa"/>
              <w:end w:w="80" w:type="dxa"/>
            </w:tcMar>
          </w:tcPr>
          <w:p>
            <w:pPr>
              <w:jc w:val="left"/>
            </w:pPr>
            <w:r>
              <w:rPr>
                <w:rFonts w:ascii="Arial" w:hAnsi="Arial"/>
                <w:sz w:val="20"/>
              </w:rPr>
              <w:t>AI Deployment Manager (ADM)</w:t>
            </w:r>
          </w:p>
        </w:tc>
        <w:tc>
          <w:tcPr>
            <w:tcW w:type="dxa" w:w="1560"/>
            <w:tcMar>
              <w:top w:w="80" w:type="dxa"/>
              <w:start w:w="80" w:type="dxa"/>
              <w:bottom w:w="80" w:type="dxa"/>
              <w:end w:w="80" w:type="dxa"/>
            </w:tcMar>
          </w:tcPr>
          <w:p>
            <w:pPr>
              <w:jc w:val="left"/>
            </w:pPr>
            <w:r>
              <w:rPr>
                <w:rFonts w:ascii="Arial" w:hAnsi="Arial"/>
                <w:sz w:val="20"/>
              </w:rPr>
              <w:t>N/A</w:t>
            </w:r>
          </w:p>
        </w:tc>
        <w:tc>
          <w:tcPr>
            <w:tcW w:type="dxa" w:w="1560"/>
            <w:tcMar>
              <w:top w:w="80" w:type="dxa"/>
              <w:start w:w="80" w:type="dxa"/>
              <w:bottom w:w="80" w:type="dxa"/>
              <w:end w:w="80" w:type="dxa"/>
            </w:tcMar>
          </w:tcPr>
          <w:p>
            <w:pPr>
              <w:jc w:val="left"/>
            </w:pPr>
            <w:r>
              <w:rPr>
                <w:rFonts w:ascii="Arial" w:hAnsi="Arial"/>
                <w:sz w:val="20"/>
              </w:rPr>
              <w:t>AI Consultant</w:t>
            </w:r>
          </w:p>
        </w:tc>
      </w:tr>
      <w:tr>
        <w:tc>
          <w:tcPr>
            <w:tcW w:type="dxa" w:w="1560"/>
            <w:tcMar>
              <w:top w:w="80" w:type="dxa"/>
              <w:start w:w="80" w:type="dxa"/>
              <w:bottom w:w="80" w:type="dxa"/>
              <w:end w:w="80" w:type="dxa"/>
            </w:tcMar>
          </w:tcPr>
          <w:p>
            <w:pPr>
              <w:jc w:val="left"/>
            </w:pPr>
            <w:r>
              <w:rPr>
                <w:rFonts w:ascii="Arial" w:hAnsi="Arial"/>
                <w:b/>
                <w:sz w:val="20"/>
              </w:rPr>
              <w:t>Strategist Stature</w:t>
            </w:r>
          </w:p>
        </w:tc>
        <w:tc>
          <w:tcPr>
            <w:tcW w:type="dxa" w:w="1560"/>
            <w:tcMar>
              <w:top w:w="80" w:type="dxa"/>
              <w:start w:w="80" w:type="dxa"/>
              <w:bottom w:w="80" w:type="dxa"/>
              <w:end w:w="80" w:type="dxa"/>
            </w:tcMar>
          </w:tcPr>
          <w:p>
            <w:pPr>
              <w:jc w:val="left"/>
            </w:pPr>
            <w:r>
              <w:rPr>
                <w:rFonts w:ascii="Arial" w:hAnsi="Arial"/>
                <w:sz w:val="20"/>
              </w:rPr>
              <w:t>High (Ex-MBB)</w:t>
            </w:r>
          </w:p>
        </w:tc>
        <w:tc>
          <w:tcPr>
            <w:tcW w:type="dxa" w:w="1560"/>
            <w:tcMar>
              <w:top w:w="80" w:type="dxa"/>
              <w:start w:w="80" w:type="dxa"/>
              <w:bottom w:w="80" w:type="dxa"/>
              <w:end w:w="80" w:type="dxa"/>
            </w:tcMar>
          </w:tcPr>
          <w:p>
            <w:pPr>
              <w:jc w:val="left"/>
            </w:pPr>
            <w:r>
              <w:rPr>
                <w:rFonts w:ascii="Arial" w:hAnsi="Arial"/>
                <w:sz w:val="20"/>
              </w:rPr>
              <w:t>High (Ex-MBB, Technical PMs)</w:t>
            </w:r>
          </w:p>
        </w:tc>
        <w:tc>
          <w:tcPr>
            <w:tcW w:type="dxa" w:w="1560"/>
            <w:tcMar>
              <w:top w:w="80" w:type="dxa"/>
              <w:start w:w="80" w:type="dxa"/>
              <w:bottom w:w="80" w:type="dxa"/>
              <w:end w:w="80" w:type="dxa"/>
            </w:tcMar>
          </w:tcPr>
          <w:p>
            <w:pPr>
              <w:jc w:val="left"/>
            </w:pPr>
            <w:r>
              <w:rPr>
                <w:rFonts w:ascii="Arial" w:hAnsi="Arial"/>
                <w:sz w:val="20"/>
              </w:rPr>
              <w:t>Elite (Poached from C3)</w:t>
            </w:r>
          </w:p>
        </w:tc>
        <w:tc>
          <w:tcPr>
            <w:tcW w:type="dxa" w:w="1560"/>
            <w:tcMar>
              <w:top w:w="80" w:type="dxa"/>
              <w:start w:w="80" w:type="dxa"/>
              <w:bottom w:w="80" w:type="dxa"/>
              <w:end w:w="80" w:type="dxa"/>
            </w:tcMar>
          </w:tcPr>
          <w:p>
            <w:pPr>
              <w:jc w:val="left"/>
            </w:pPr>
            <w:r>
              <w:rPr>
                <w:rFonts w:ascii="Arial" w:hAnsi="Arial"/>
                <w:sz w:val="20"/>
              </w:rPr>
              <w:t>Low/Absent</w:t>
            </w:r>
          </w:p>
        </w:tc>
        <w:tc>
          <w:tcPr>
            <w:tcW w:type="dxa" w:w="1560"/>
            <w:tcMar>
              <w:top w:w="80" w:type="dxa"/>
              <w:start w:w="80" w:type="dxa"/>
              <w:bottom w:w="80" w:type="dxa"/>
              <w:end w:w="80" w:type="dxa"/>
            </w:tcMar>
          </w:tcPr>
          <w:p>
            <w:pPr>
              <w:jc w:val="left"/>
            </w:pPr>
            <w:r>
              <w:rPr>
                <w:rFonts w:ascii="Arial" w:hAnsi="Arial"/>
                <w:sz w:val="20"/>
              </w:rPr>
              <w:t>Low (Relegated to Admin)</w:t>
            </w:r>
          </w:p>
        </w:tc>
      </w:tr>
      <w:tr>
        <w:tc>
          <w:tcPr>
            <w:tcW w:type="dxa" w:w="1560"/>
            <w:tcMar>
              <w:top w:w="80" w:type="dxa"/>
              <w:start w:w="80" w:type="dxa"/>
              <w:bottom w:w="80" w:type="dxa"/>
              <w:end w:w="80" w:type="dxa"/>
            </w:tcMar>
          </w:tcPr>
          <w:p>
            <w:pPr>
              <w:jc w:val="left"/>
            </w:pPr>
            <w:r>
              <w:rPr>
                <w:rFonts w:ascii="Arial" w:hAnsi="Arial"/>
                <w:b/>
                <w:sz w:val="20"/>
              </w:rPr>
              <w:t>Deployment Model</w:t>
            </w:r>
          </w:p>
        </w:tc>
        <w:tc>
          <w:tcPr>
            <w:tcW w:type="dxa" w:w="1560"/>
            <w:tcMar>
              <w:top w:w="80" w:type="dxa"/>
              <w:start w:w="80" w:type="dxa"/>
              <w:bottom w:w="80" w:type="dxa"/>
              <w:end w:w="80" w:type="dxa"/>
            </w:tcMar>
          </w:tcPr>
          <w:p>
            <w:pPr>
              <w:jc w:val="left"/>
            </w:pPr>
            <w:r>
              <w:rPr>
                <w:rFonts w:ascii="Arial" w:hAnsi="Arial"/>
                <w:sz w:val="20"/>
              </w:rPr>
              <w:t>Hybrid, Ontology-Driven Build</w:t>
            </w:r>
          </w:p>
        </w:tc>
        <w:tc>
          <w:tcPr>
            <w:tcW w:type="dxa" w:w="1560"/>
            <w:tcMar>
              <w:top w:w="80" w:type="dxa"/>
              <w:start w:w="80" w:type="dxa"/>
              <w:bottom w:w="80" w:type="dxa"/>
              <w:end w:w="80" w:type="dxa"/>
            </w:tcMar>
          </w:tcPr>
          <w:p>
            <w:pPr>
              <w:jc w:val="left"/>
            </w:pPr>
            <w:r>
              <w:rPr>
                <w:rFonts w:ascii="Arial" w:hAnsi="Arial"/>
                <w:sz w:val="20"/>
              </w:rPr>
              <w:t>Hybrid, Data Science-Led Build</w:t>
            </w:r>
          </w:p>
        </w:tc>
        <w:tc>
          <w:tcPr>
            <w:tcW w:type="dxa" w:w="1560"/>
            <w:tcMar>
              <w:top w:w="80" w:type="dxa"/>
              <w:start w:w="80" w:type="dxa"/>
              <w:bottom w:w="80" w:type="dxa"/>
              <w:end w:w="80" w:type="dxa"/>
            </w:tcMar>
          </w:tcPr>
          <w:p>
            <w:pPr>
              <w:jc w:val="left"/>
            </w:pPr>
            <w:r>
              <w:rPr>
                <w:rFonts w:ascii="Arial" w:hAnsi="Arial"/>
                <w:sz w:val="20"/>
              </w:rPr>
              <w:t>Agentic Workflow Build (Deployment Co)</w:t>
            </w:r>
          </w:p>
        </w:tc>
        <w:tc>
          <w:tcPr>
            <w:tcW w:type="dxa" w:w="1560"/>
            <w:tcMar>
              <w:top w:w="80" w:type="dxa"/>
              <w:start w:w="80" w:type="dxa"/>
              <w:bottom w:w="80" w:type="dxa"/>
              <w:end w:w="80" w:type="dxa"/>
            </w:tcMar>
          </w:tcPr>
          <w:p>
            <w:pPr>
              <w:jc w:val="left"/>
            </w:pPr>
            <w:r>
              <w:rPr>
                <w:rFonts w:ascii="Arial" w:hAnsi="Arial"/>
                <w:sz w:val="20"/>
              </w:rPr>
              <w:t>MLOps-Focused Software Build</w:t>
            </w:r>
          </w:p>
        </w:tc>
        <w:tc>
          <w:tcPr>
            <w:tcW w:type="dxa" w:w="1560"/>
            <w:tcMar>
              <w:top w:w="80" w:type="dxa"/>
              <w:start w:w="80" w:type="dxa"/>
              <w:bottom w:w="80" w:type="dxa"/>
              <w:end w:w="80" w:type="dxa"/>
            </w:tcMar>
          </w:tcPr>
          <w:p>
            <w:pPr>
              <w:jc w:val="left"/>
            </w:pPr>
            <w:r>
              <w:rPr>
                <w:rFonts w:ascii="Arial" w:hAnsi="Arial"/>
                <w:sz w:val="20"/>
              </w:rPr>
              <w:t>Production MLOps Build (Applied AI)</w:t>
            </w:r>
          </w:p>
        </w:tc>
      </w:tr>
    </w:tbl>
    <w:p>
      <w:pPr>
        <w:pStyle w:val="Heading2"/>
      </w:pPr>
      <w:r>
        <w:t>3. Foreseeable Challenges: Economics Above All</w:t>
      </w:r>
    </w:p>
    <w:p>
      <w:pPr>
        <w:jc w:val="left"/>
      </w:pPr>
      <w:r>
        <w:t>The FDE model has a structural economics problem that no company in the market has credibly solved. Maintaining elite, customer-embedded technical pods—comprising experienced engineers, data scientists, and high-caliber strategists—is extraordinarily expensive. These are not junior implementation resources; they are among the highest-value technical professionals in the market.</w:t>
      </w:r>
    </w:p>
    <w:p>
      <w:pPr>
        <w:jc w:val="left"/>
      </w:pPr>
      <w:r>
        <w:t>The dominant approach today treats FDE pods as subsidized Customer Acquisition Cost (CAC): the deployment expense is absorbed into the cost of securing or retaining a large software contract. This accounting is financially unsustainable at scale. As the FDE function expands to serve more customers, the cost base grows linearly while the software license revenue—designed to scale non-linearly—is offset by an expanding services overhead.</w:t>
      </w:r>
    </w:p>
    <w:p>
      <w:pPr>
        <w:jc w:val="left"/>
      </w:pPr>
      <w:r>
        <w:t>The problem deepens further: because effective FDE teams successfully deliver measurable ROI, enterprise customers continuously surface new AI use cases for them to solve. The FDE pod, originally conceived as a temporary deployment team, becomes a permanent operational presence. The software company has, functionally, acquired a services business without the economic structures—billing rates, margin frameworks, project scoping disciplines—required to operate one profitably. The result is a hybrid business model that captures the cost profile of a services firm and the revenue profile of a software company: the worst of both worlds.</w:t>
      </w:r>
    </w:p>
    <w:p>
      <w:pPr>
        <w:jc w:val="left"/>
      </w:pPr>
      <w:r>
        <w:t>No company in the current competitive landscape has publicly solved this dilemma. The OpenAI Deployment Company's $4B capitalization is a bet that market dominance justifies the near-term economics, but the long-term unit economics of embedded enterprise deployment at scale remain genuinely unresolved.</w:t>
      </w:r>
    </w:p>
    <w:p>
      <w:pPr>
        <w:pStyle w:val="Heading2"/>
      </w:pPr>
      <w:r>
        <w:t>4. The Ideal Team Setup: The Modern FDE Pod</w:t>
      </w:r>
    </w:p>
    <w:p>
      <w:pPr>
        <w:jc w:val="left"/>
      </w:pPr>
      <w:r>
        <w:t>The modern FDE pod has evolved from Palantir's original Delta-Echo duo and C3 AI's three-part structure into a three-role operational unit that addresses the full deployment surface area.</w:t>
      </w:r>
    </w:p>
    <w:p>
      <w:pPr>
        <w:pStyle w:val="Heading3"/>
      </w:pPr>
      <w:r>
        <w:t>Role 1: The Strategist — The "What"</w:t>
      </w:r>
    </w:p>
    <w:p>
      <w:pPr>
        <w:pStyle w:val="Quote"/>
      </w:pPr>
      <w:r>
        <w:rPr>
          <w:b/>
          <w:i/>
        </w:rPr>
        <w:t>Profile:</w:t>
      </w:r>
      <w:r>
        <w:rPr>
          <w:i/>
        </w:rPr>
        <w:t xml:space="preserve"> Elite, technically fluent hybrid talent—frequently ex-MBB consultants, former product managers, or deep domain experts—with exceptional communication skills and a demonstrated ability to earn executive respect.</w:t>
      </w:r>
    </w:p>
    <w:p>
      <w:pPr>
        <w:jc w:val="left"/>
      </w:pPr>
      <w:r>
        <w:t>The Strategist's mandate is to define the operational roadmap, calculate and communicate economic value drivers, navigate complex organizational politics, and manage senior customer stakeholders who control AI adoption decisions. This role functions as the deployment's political and economic architect: securing stakeholder buy-in before technical work begins, articulating ROI in the financial language of the CFO, and managing the change management friction that inevitably accompanies AI-driven workflow redesign.</w:t>
      </w:r>
    </w:p>
    <w:p>
      <w:pPr>
        <w:jc w:val="left"/>
      </w:pPr>
      <w:r>
        <w:t>Critically, this role must be hands-on-keyboard with broad working knowledge of the full AI stack and data science principles. A Strategist who cannot credibly engage with the technical architecture cannot earn the respect of the engineers they depend on—or the enterprise technical evaluators they negotiate with.</w:t>
      </w:r>
    </w:p>
    <w:p>
      <w:pPr>
        <w:jc w:val="left"/>
      </w:pPr>
      <w:r>
        <w:t>The Palantir Echo and C3 AI AI Solution Manager represent the market benchmark for this profile. Their rarity is genuine: the combination of technical fluency, consulting-grade communication, and product management rigor required for this role is vanishingly scarce. Individuals who successfully occupy it frequently proceed to found their own technology companies or are aggressively recruited by high-growth AI startups—a reliable signal of the role's compounding leverage.</w:t>
      </w:r>
    </w:p>
    <w:p>
      <w:pPr>
        <w:pStyle w:val="Heading3"/>
      </w:pPr>
      <w:r>
        <w:t>Role 2: The Engineer — The "How"</w:t>
      </w:r>
    </w:p>
    <w:p>
      <w:pPr>
        <w:pStyle w:val="Quote"/>
      </w:pPr>
      <w:r>
        <w:rPr>
          <w:b/>
          <w:i/>
        </w:rPr>
        <w:t>Profile:</w:t>
      </w:r>
      <w:r>
        <w:rPr>
          <w:i/>
        </w:rPr>
        <w:t xml:space="preserve"> Scrappy, autonomous, highly entrepreneurial, AI-native software developers who are genuinely comfortable operating in chaotic, unstructured environments—what one might characterize as a "pre-PMF founder mindset."</w:t>
      </w:r>
    </w:p>
    <w:p>
      <w:pPr>
        <w:jc w:val="left"/>
      </w:pPr>
      <w:r>
        <w:t>The Engineer builds. Their mandate is to write production-grade code (Python, Shell, Rust), architect robust data ingestion pipelines, map legacy databases, build custom agentic user interfaces, and deploy, monitor, and optimize AI systems in live client environments. They are generalist-specialists: capable of moving fluidly from data engineering to frontend UI development, from prompt orchestration to cloud infrastructure. They thrive not in clean greenfield environments, but in the messy, legacy-heavy reality of enterprise IT—where the data model was designed in 2003 and the deployment environment is a private cloud with air-gap restrictions.</w:t>
      </w:r>
    </w:p>
    <w:p>
      <w:pPr>
        <w:pStyle w:val="Heading3"/>
      </w:pPr>
      <w:r>
        <w:t>Role 3: The Data Scientist — The "Why"</w:t>
      </w:r>
    </w:p>
    <w:p>
      <w:pPr>
        <w:pStyle w:val="Quote"/>
      </w:pPr>
      <w:r>
        <w:rPr>
          <w:b/>
          <w:i/>
        </w:rPr>
        <w:t>Profile:</w:t>
      </w:r>
      <w:r>
        <w:rPr>
          <w:i/>
        </w:rPr>
        <w:t xml:space="preserve"> Rigorous mathematical minds who understand the underlying mechanics of machine learning and statistical modeling, with the ability to translate complex model behavior into language non-technical stakeholders can act on.</w:t>
      </w:r>
    </w:p>
    <w:p>
      <w:pPr>
        <w:jc w:val="left"/>
      </w:pPr>
      <w:r>
        <w:t>AI systems are fundamentally stochastic. They hallucinate, degrade under distribution shift, and behave in ways that are difficult to predict without deep statistical understanding. The Data Scientist's mandate is to tame this stochasticity in production: to tackle advanced mathematical friction, fine-tune models using RLHF and DPO techniques on domain-specific data, design evaluation frameworks that reliably measure model quality, and ensure that the AI system performs predictably and safely under live operational pressure.</w:t>
      </w:r>
    </w:p>
    <w:p>
      <w:pPr>
        <w:jc w:val="left"/>
      </w:pPr>
      <w:r>
        <w:t>The key distinction from the Engineer: the Data Scientist must understand why the system works—or fails—not merely how to build it. In high-stakes enterprise deployments where model failures carry legal, financial, or safety consequences, this distinction is not semantic. It is the difference between a system that is monitored and one that is genuinely governed.</w:t>
      </w:r>
    </w:p>
    <w:p>
      <w:pPr>
        <w:jc w:val="left"/>
      </w:pPr>
      <w:r>
        <w:rPr>
          <w:b/>
        </w:rPr>
        <w:t>The Engineering-Only Trap</w:t>
      </w:r>
    </w:p>
    <w:p>
      <w:pPr>
        <w:jc w:val="left"/>
      </w:pPr>
      <w:r>
        <w:t>Many organizations misinterpret the AI FDE model and attempt to deploy a small group of elite software engineers without strategic or data science support. This is a critical structural error. AI adoption inside large enterprises is highly political—it generates heated internal debates around cost, labor substitution, and data security. Deploying engineers without strategic air cover exposes them to organizational friction they are not equipped to manage. Simultaneously, the stochastic nature of AI systems requires deep mathematical governance that software engineering skill alone cannot provide. The three-role pod is not a luxury—it is the minimum viable operational unit.</w:t>
      </w:r>
    </w:p>
    <w:p>
      <w:pPr>
        <w:pStyle w:val="Heading2"/>
      </w:pPr>
      <w:r>
        <w:t>5. The Ideal AI FDE Operating Model</w:t>
      </w:r>
    </w:p>
    <w:p>
      <w:pPr>
        <w:jc w:val="left"/>
      </w:pPr>
      <w:r>
        <w:t>The most effective AI FDE operating model is, at its core, a high-trust, transparent, AI-native consulting model—one where the team's commercial incentives are explicitly aligned with the customer's long-term economic interests, not the vendor's short-term lock-in calculus. This requires discipline across three operating imperatives.</w:t>
      </w:r>
    </w:p>
    <w:p>
      <w:pPr>
        <w:pStyle w:val="Heading3"/>
      </w:pPr>
      <w:r>
        <w:t>Imperative 1: Manage the Shifting Model Pareto Curve</w:t>
      </w:r>
    </w:p>
    <w:p>
      <w:pPr>
        <w:jc w:val="left"/>
      </w:pPr>
      <w:r>
        <w:t>Token price inflation and the constantly shifting model performance frontier have made single-vendor AI strategies economically indefensible. This is not a theoretical risk: Gemini 3.5 Flash costs tripled relative to Gemini 3.0 Flash with no measurable improvement on LM Arena at launch. The AI pareto curve—the frontier of maximum capability per dollar—shifts every quarter. Sophisticated enterprise customers are acutely aware of this dynamic and will not accept an architecture that locks them into yesterday's pricing on yesterday's model.</w:t>
      </w:r>
    </w:p>
    <w:p>
      <w:pPr>
        <w:jc w:val="left"/>
      </w:pPr>
      <w:r>
        <w:t>A good FDE team proactively delivers a model-agnostic operating model: an orchestration layer—built on frameworks such as OpenHands, OpenCode, or Hermes Agent—that routes, caches, and swaps between models based on cost and performance requirements without requiring infrastructure rewrites. A great FDE team goes further and actively manages the customer's token cost profile: implementing model selection optimization, semantic caching, and tiered routing architectures that default simple reasoning tasks to lightweight open-source models while selectively routing complex, multi-step work to frontier models.</w:t>
      </w:r>
    </w:p>
    <w:p>
      <w:pPr>
        <w:pStyle w:val="Heading3"/>
      </w:pPr>
      <w:r>
        <w:t>Imperative 2: Resist Proprietary Platform Lock-In</w:t>
      </w:r>
    </w:p>
    <w:p>
      <w:pPr>
        <w:jc w:val="left"/>
      </w:pPr>
      <w:r>
        <w:t>The commoditization of traditional software is fundamentally changing customer risk calculus. In the SaaS era, proprietary platforms commanded a premium because deterministic software scaled predictably and vendors delivered genuine economies of scale. The AI era disrupts this bargain: AI outputs are stochastic and model-specific, model capability evolves faster than platform roadmaps, and the switching costs embedded in proprietary AI orchestration layers are disproportionately high relative to the marginal value delivered.</w:t>
      </w:r>
    </w:p>
    <w:p>
      <w:pPr>
        <w:jc w:val="left"/>
      </w:pPr>
      <w:r>
        <w:t>Savvy customers are drawing the correct conclusion: proprietary AI platforms are economically rational for vendors and operationally dangerous for buyers. The abstraction tax—the cost of the vendor's proprietary layer sitting between the customer's workflow and the underlying model—is rarely justified by the marginal capability it delivers.</w:t>
      </w:r>
    </w:p>
    <w:p>
      <w:pPr>
        <w:jc w:val="left"/>
      </w:pPr>
      <w:r>
        <w:t>A good FDE team embraces open-source tooling and helps customers build on flexible, portable architectures—ensuring that the abstraction boundary between the model layer and the application layer is preserved at every engagement. A great FDE team makes portability a design requirement, not an afterthought: architectures are built from the start with the assumption that the underlying model will change, the orchestration framework will evolve, and the customer must retain full operational sovereignty over their own AI systems.</w:t>
      </w:r>
    </w:p>
    <w:p>
      <w:pPr>
        <w:pStyle w:val="Heading3"/>
      </w:pPr>
      <w:r>
        <w:t>Imperative 3: Price for 10x Output, Not Headcount Input</w:t>
      </w:r>
    </w:p>
    <w:p>
      <w:pPr>
        <w:jc w:val="left"/>
      </w:pPr>
      <w:r>
        <w:t>The most structurally consequential shift in enterprise AI deployment economics is also the least discussed: AI-native FDE teams operating with modern agentic development tooling are demonstrably 10x more productive than traditional software implementation resources. A three-person AI-native pod—building with code-generation agents, harness engineering, and automated docs—can deliver what a thirty-person traditional implementation team would require months to produce.</w:t>
      </w:r>
    </w:p>
    <w:p>
      <w:pPr>
        <w:jc w:val="left"/>
      </w:pPr>
      <w:r>
        <w:t>Traditional professional services billing—anchored to headcount and hours—is structurally incompatible with AI-native delivery velocity. An FDE team that bills for inputs when it is delivering 10x output is simultaneously undervaluing its own capability and misrepresenting the true economics of the engagement.</w:t>
      </w:r>
    </w:p>
    <w:p>
      <w:pPr>
        <w:jc w:val="left"/>
      </w:pPr>
      <w:r>
        <w:t>A good FDE team helps enterprise customers understand the scale of productivity gains they are capturing and transfers some of that capability to the customer's own teams through knowledge transfer and tooling handoffs. A great FDE team restructures the commercial model entirely: negotiating output-based value metrics—operational systems deployed, workflow automation rates, measurable ROI milestones—rather than accepting engagement structures anchored to billable presence. This is not a negotiating posture; it is the only pricing model that accurately reflects the economic value AI-native teams generate.</w:t>
      </w:r>
    </w:p>
    <w:p>
      <w:pPr>
        <w:jc w:val="left"/>
      </w:pPr>
      <w:r>
        <w:rPr>
          <w:b/>
        </w:rPr>
        <w:t>Final Thoughts</w:t>
      </w:r>
    </w:p>
    <w:p>
      <w:pPr>
        <w:jc w:val="left"/>
      </w:pPr>
      <w:r>
        <w:t>The ideal enterprise AI deployment in 2026 is a lean, AI-native three-role pod delivering open-source, model-agnostic architectures priced on outputs. FDE teams that deliver all three—a portable orchestration layer, vendor-neutral custom algorithms, and output-based commercial structures—are not merely better deployment partners. They are the only deployment partners that align their own commercial incentives with the long-term economic interests of their customers.</w:t>
      </w:r>
    </w:p>
    <w:p>
      <w:pPr>
        <w:jc w:val="left"/>
      </w:pPr>
      <w:r>
        <w:t>This memo was prepared using primary research on Palantir, C3 AI, OpenAI, Anthropic, and Google Cloud's FDE organizations, synthesized from public career postings, industry analyses, and practitioner accounts as of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