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Autonomous Enterprise: Operationalising Long-Running AI Agents</w:t>
      </w:r>
    </w:p>
    <w:p>
      <w:pPr>
        <w:jc w:val="left"/>
      </w:pPr>
      <w:r>
        <w:rPr>
          <w:b/>
        </w:rPr>
        <w:t>Author:</w:t>
      </w:r>
      <w:r>
        <w:t xml:space="preserve"> Tiger Huang</w:t>
      </w:r>
    </w:p>
    <w:p>
      <w:pPr>
        <w:jc w:val="left"/>
      </w:pPr>
      <w:r>
        <w:rPr>
          <w:b/>
        </w:rPr>
        <w:t>Date:</w:t>
      </w:r>
      <w:r>
        <w:t xml:space="preserve"> August 2026</w:t>
      </w:r>
    </w:p>
    <w:p>
      <w:pPr>
        <w:jc w:val="left"/>
      </w:pPr>
      <w:r>
        <w:rPr>
          <w:b/>
        </w:rPr>
        <w:t>Classification:</w:t>
      </w:r>
      <w:r>
        <w:t xml:space="preserve"> Autonomous AI Agent Growth Strategy</w:t>
      </w:r>
    </w:p>
    <w:p>
      <w:pPr>
        <w:jc w:val="left"/>
      </w:pPr>
      <w:r>
        <w:rPr>
          <w:b/>
        </w:rPr>
        <w:t>Audience:</w:t>
      </w:r>
      <w:r>
        <w:t xml:space="preserve"> Executive Leadership &amp; Enterprise Investors</w:t>
      </w:r>
    </w:p>
    <w:p>
      <w:pPr>
        <w:pStyle w:val="Heading2"/>
      </w:pPr>
      <w:r>
        <w:t>Executive Summary</w:t>
      </w:r>
    </w:p>
    <w:p>
      <w:pPr>
        <w:jc w:val="left"/>
      </w:pPr>
      <w:r>
        <w:t>The evolution of AI agents has unfolded across three distinct paradigms. First, interactive co-pilots emerged to assist users synchronously in real-time tasks like coding, writing, and research through direct turn-by-turn interactions. Second, agent swarms introduced parallel, multi-agent workflows—whether interactive or autonomous—built to maximize throughput for labor-intensive tasks. Today, we have entered the era of long-running autonomous agents, engineered to operate independently like human digital workers over extended horizons of days and weeks.</w:t>
      </w:r>
    </w:p>
    <w:p>
      <w:pPr>
        <w:jc w:val="left"/>
      </w:pPr>
      <w:r>
        <w:t>While coding agents represent the most lucrative application area, AI-assisted software development is already a crowded market dominated by frontier labs and specialized startups. Consequently, the next best attractive commercial opportunities for enterprise AI agent ventures lie in core business operations: Outbound Business Development (BDR) (prospect sourcing, contact enrichment, and lead qualification), IT Service Management (ITSM) (automated helpdesk ticket resolution and access provisioning), Financial Services KYC &amp; Loan Origination (automated identity verification and underwriting packages), and other labor intensive, workflow-heavy operations.</w:t>
      </w:r>
    </w:p>
    <w:p>
      <w:pPr>
        <w:jc w:val="left"/>
      </w:pPr>
      <w:r>
        <w:t>Capturing these opportunities requires deploying Forward Deployed Engineering (FDE) pods as the core growth engine for AI agent companies. Embedded directly within customer environments, these elite A-teams rapidly solve vertical product-market fit for AI agents across unique customer workflows. Crucially, FDE pods are neither routine SaaS implementation teams (which become unsustainably expensive if staffed with AI talent) nor IT consulting practices (which is a labor arbitrage business, not an AI agent business). True FDE pods are composed of elite AI Solution Managers who are technically fluent business strategists and navigators, Forward Deployed Engineers who are business minded, scrappy zero-to-one engineers, and AI Architects who are resourceful and pragmatic AI researchers. Together they build AI agent capabilities in the vertical and drive scalable, sustained growth.</w:t>
      </w:r>
    </w:p>
    <w:p>
      <w:pPr>
        <w:pStyle w:val="Heading2"/>
      </w:pPr>
      <w:r>
        <w:t>1. Defining Long-Running Autonomous Agents</w:t>
      </w:r>
    </w:p>
    <w:p>
      <w:pPr>
        <w:pStyle w:val="Heading3"/>
      </w:pPr>
      <w:r>
        <w:t>Technical Definition and Core Primitives</w:t>
      </w:r>
    </w:p>
    <w:p>
      <w:pPr>
        <w:jc w:val="left"/>
      </w:pPr>
      <w:r>
        <w:t>Long-running autonomous agents represent the third paradigm of AI agent architecture: software workers engineered to operate independently like human digital workers over extended horizons of days and weeks. Unlike interactive co-pilots that assist users synchronously through direct turn-by-turn interactions, or agent swarms built for parallel batch tasks that clear memory upon job completion, long-running agents run continuous background loops responding to system webhooks, database updates, and scheduled timers.</w:t>
      </w:r>
    </w:p>
    <w:p>
      <w:pPr>
        <w:jc w:val="left"/>
      </w:pPr>
      <w:r>
        <w:t>Three core structural capabilities govern this architecture:</w:t>
      </w:r>
    </w:p>
    <w:p>
      <w:pPr>
        <w:jc w:val="left"/>
      </w:pPr>
      <w:r>
        <w:t>Durable Execution State &amp; Persistent Memory: The system periodically records its complete operational graph, event logs, tool interaction history, and domain context to persistent storage. When an agent encounters a multi-hour delay—such as waiting for an executive approval or a third-party API callback—it hibernates safely, preserving operational history and decision memory across sessions. During hibernation, the agent consumes zero model compute tokens. Upon receiving a resuming event, it restores its state cleanly across system restarts without losing context or requiring costly prompt re-runs.</w:t>
      </w:r>
    </w:p>
    <w:p>
      <w:pPr>
        <w:jc w:val="left"/>
      </w:pPr>
      <w:r>
        <w:t>Isolated Digital Workspaces: Agents operate within dedicated, secure sandboxes equipped with persistent file systems, command-line terminals, and authenticated enterprise API bindings. These workspaces allow agents to inspect real file structures, run diagnostic test suites, and execute multi-step scripts safely.</w:t>
      </w:r>
    </w:p>
    <w:p>
      <w:pPr>
        <w:jc w:val="left"/>
      </w:pPr>
      <w:r>
        <w:t>Self-Correcting Planning: Rather than following rigid, unyielding scripts, long-running agents employ autonomous evaluation loops. They monitor intermediate tool outputs, detect unexpected system errors, and revise their strategic trajectory independently without halting for human intervention at every step.</w:t>
      </w:r>
    </w:p>
    <w:p>
      <w:pPr>
        <w:jc w:val="left"/>
      </w:pPr>
      <w:r>
        <w:t>#### Comparative Overview: Interactive AI Co-Pilots vs. Stateless Agent Swarms vs. Long-Running Autonomous Agents</w:t>
      </w:r>
    </w:p>
    <w:tbl>
      <w:tblPr>
        <w:tblStyle w:val="TableGrid"/>
        <w:tblW w:type="auto" w:w="0"/>
        <w:tblLook w:firstColumn="1" w:firstRow="1" w:lastColumn="0" w:lastRow="0" w:noHBand="0" w:noVBand="1" w:val="04A0"/>
      </w:tblPr>
      <w:tblGrid>
        <w:gridCol w:w="2340"/>
        <w:gridCol w:w="2340"/>
        <w:gridCol w:w="2340"/>
        <w:gridCol w:w="2340"/>
      </w:tblGrid>
      <w:tr>
        <w:tc>
          <w:tcPr>
            <w:tcW w:type="dxa" w:w="2340"/>
            <w:tcMar>
              <w:top w:w="80" w:type="dxa"/>
              <w:start w:w="80" w:type="dxa"/>
              <w:bottom w:w="80" w:type="dxa"/>
              <w:end w:w="80" w:type="dxa"/>
            </w:tcMar>
          </w:tcPr>
          <w:p>
            <w:pPr>
              <w:jc w:val="left"/>
            </w:pPr>
            <w:r>
              <w:rPr>
                <w:rFonts w:ascii="Arial" w:hAnsi="Arial"/>
                <w:b/>
                <w:sz w:val="20"/>
              </w:rPr>
              <w:t>Feature</w:t>
            </w:r>
          </w:p>
        </w:tc>
        <w:tc>
          <w:tcPr>
            <w:tcW w:type="dxa" w:w="2340"/>
            <w:tcMar>
              <w:top w:w="80" w:type="dxa"/>
              <w:start w:w="80" w:type="dxa"/>
              <w:bottom w:w="80" w:type="dxa"/>
              <w:end w:w="80" w:type="dxa"/>
            </w:tcMar>
          </w:tcPr>
          <w:p>
            <w:pPr>
              <w:jc w:val="left"/>
            </w:pPr>
            <w:r>
              <w:rPr>
                <w:rFonts w:ascii="Arial" w:hAnsi="Arial"/>
                <w:b/>
                <w:sz w:val="20"/>
              </w:rPr>
              <w:t>Interactive AI Co-Pilots</w:t>
            </w:r>
          </w:p>
        </w:tc>
        <w:tc>
          <w:tcPr>
            <w:tcW w:type="dxa" w:w="2340"/>
            <w:tcMar>
              <w:top w:w="80" w:type="dxa"/>
              <w:start w:w="80" w:type="dxa"/>
              <w:bottom w:w="80" w:type="dxa"/>
              <w:end w:w="80" w:type="dxa"/>
            </w:tcMar>
          </w:tcPr>
          <w:p>
            <w:pPr>
              <w:jc w:val="left"/>
            </w:pPr>
            <w:r>
              <w:rPr>
                <w:rFonts w:ascii="Arial" w:hAnsi="Arial"/>
                <w:b/>
                <w:sz w:val="20"/>
              </w:rPr>
              <w:t>Stateless Agent Swarms</w:t>
            </w:r>
          </w:p>
        </w:tc>
        <w:tc>
          <w:tcPr>
            <w:tcW w:type="dxa" w:w="2340"/>
            <w:tcMar>
              <w:top w:w="80" w:type="dxa"/>
              <w:start w:w="80" w:type="dxa"/>
              <w:bottom w:w="80" w:type="dxa"/>
              <w:end w:w="80" w:type="dxa"/>
            </w:tcMar>
          </w:tcPr>
          <w:p>
            <w:pPr>
              <w:jc w:val="left"/>
            </w:pPr>
            <w:r>
              <w:rPr>
                <w:rFonts w:ascii="Arial" w:hAnsi="Arial"/>
                <w:b/>
                <w:sz w:val="20"/>
              </w:rPr>
              <w:t>Long-Running Autonomous Agents</w:t>
            </w:r>
          </w:p>
        </w:tc>
      </w:tr>
      <w:tr>
        <w:tc>
          <w:tcPr>
            <w:tcW w:type="dxa" w:w="2340"/>
            <w:tcMar>
              <w:top w:w="80" w:type="dxa"/>
              <w:start w:w="80" w:type="dxa"/>
              <w:bottom w:w="80" w:type="dxa"/>
              <w:end w:w="80" w:type="dxa"/>
            </w:tcMar>
          </w:tcPr>
          <w:p>
            <w:pPr>
              <w:jc w:val="left"/>
            </w:pPr>
            <w:r>
              <w:rPr>
                <w:rFonts w:ascii="Arial" w:hAnsi="Arial"/>
                <w:b/>
                <w:sz w:val="20"/>
              </w:rPr>
              <w:t>Execution Horizon</w:t>
            </w:r>
          </w:p>
        </w:tc>
        <w:tc>
          <w:tcPr>
            <w:tcW w:type="dxa" w:w="2340"/>
            <w:tcMar>
              <w:top w:w="80" w:type="dxa"/>
              <w:start w:w="80" w:type="dxa"/>
              <w:bottom w:w="80" w:type="dxa"/>
              <w:end w:w="80" w:type="dxa"/>
            </w:tcMar>
          </w:tcPr>
          <w:p>
            <w:pPr>
              <w:jc w:val="left"/>
            </w:pPr>
            <w:r>
              <w:rPr>
                <w:rFonts w:ascii="Arial" w:hAnsi="Arial"/>
                <w:sz w:val="20"/>
              </w:rPr>
              <w:t>Minutes (ephemeral, synchronous back-and-forth user sessions).</w:t>
            </w:r>
          </w:p>
        </w:tc>
        <w:tc>
          <w:tcPr>
            <w:tcW w:type="dxa" w:w="2340"/>
            <w:tcMar>
              <w:top w:w="80" w:type="dxa"/>
              <w:start w:w="80" w:type="dxa"/>
              <w:bottom w:w="80" w:type="dxa"/>
              <w:end w:w="80" w:type="dxa"/>
            </w:tcMar>
          </w:tcPr>
          <w:p>
            <w:pPr>
              <w:jc w:val="left"/>
            </w:pPr>
            <w:r>
              <w:rPr>
                <w:rFonts w:ascii="Arial" w:hAnsi="Arial"/>
                <w:sz w:val="20"/>
              </w:rPr>
              <w:t>Hours (short batch task loops).</w:t>
            </w:r>
          </w:p>
        </w:tc>
        <w:tc>
          <w:tcPr>
            <w:tcW w:type="dxa" w:w="2340"/>
            <w:tcMar>
              <w:top w:w="80" w:type="dxa"/>
              <w:start w:w="80" w:type="dxa"/>
              <w:bottom w:w="80" w:type="dxa"/>
              <w:end w:w="80" w:type="dxa"/>
            </w:tcMar>
          </w:tcPr>
          <w:p>
            <w:pPr>
              <w:jc w:val="left"/>
            </w:pPr>
            <w:r>
              <w:rPr>
                <w:rFonts w:ascii="Arial" w:hAnsi="Arial"/>
                <w:sz w:val="20"/>
              </w:rPr>
              <w:t>Days to Weeks (continuous background loops).</w:t>
            </w:r>
          </w:p>
        </w:tc>
      </w:tr>
      <w:tr>
        <w:tc>
          <w:tcPr>
            <w:tcW w:type="dxa" w:w="2340"/>
            <w:tcMar>
              <w:top w:w="80" w:type="dxa"/>
              <w:start w:w="80" w:type="dxa"/>
              <w:bottom w:w="80" w:type="dxa"/>
              <w:end w:w="80" w:type="dxa"/>
            </w:tcMar>
          </w:tcPr>
          <w:p>
            <w:pPr>
              <w:jc w:val="left"/>
            </w:pPr>
            <w:r>
              <w:rPr>
                <w:rFonts w:ascii="Arial" w:hAnsi="Arial"/>
                <w:b/>
                <w:sz w:val="20"/>
              </w:rPr>
              <w:t>Memory &amp; State Model</w:t>
            </w:r>
          </w:p>
        </w:tc>
        <w:tc>
          <w:tcPr>
            <w:tcW w:type="dxa" w:w="2340"/>
            <w:tcMar>
              <w:top w:w="80" w:type="dxa"/>
              <w:start w:w="80" w:type="dxa"/>
              <w:bottom w:w="80" w:type="dxa"/>
              <w:end w:w="80" w:type="dxa"/>
            </w:tcMar>
          </w:tcPr>
          <w:p>
            <w:pPr>
              <w:jc w:val="left"/>
            </w:pPr>
            <w:r>
              <w:rPr>
                <w:rFonts w:ascii="Arial" w:hAnsi="Arial"/>
                <w:sz w:val="20"/>
              </w:rPr>
              <w:t>In-memory session context; resets when session ends.</w:t>
            </w:r>
          </w:p>
        </w:tc>
        <w:tc>
          <w:tcPr>
            <w:tcW w:type="dxa" w:w="2340"/>
            <w:tcMar>
              <w:top w:w="80" w:type="dxa"/>
              <w:start w:w="80" w:type="dxa"/>
              <w:bottom w:w="80" w:type="dxa"/>
              <w:end w:w="80" w:type="dxa"/>
            </w:tcMar>
          </w:tcPr>
          <w:p>
            <w:pPr>
              <w:jc w:val="left"/>
            </w:pPr>
            <w:r>
              <w:rPr>
                <w:rFonts w:ascii="Arial" w:hAnsi="Arial"/>
                <w:sz w:val="20"/>
              </w:rPr>
              <w:t>Message queues between agents; resets upon job completion.</w:t>
            </w:r>
          </w:p>
        </w:tc>
        <w:tc>
          <w:tcPr>
            <w:tcW w:type="dxa" w:w="2340"/>
            <w:tcMar>
              <w:top w:w="80" w:type="dxa"/>
              <w:start w:w="80" w:type="dxa"/>
              <w:bottom w:w="80" w:type="dxa"/>
              <w:end w:w="80" w:type="dxa"/>
            </w:tcMar>
          </w:tcPr>
          <w:p>
            <w:pPr>
              <w:jc w:val="left"/>
            </w:pPr>
            <w:r>
              <w:rPr>
                <w:rFonts w:ascii="Arial" w:hAnsi="Arial"/>
                <w:sz w:val="20"/>
              </w:rPr>
              <w:t>Persistent memory and durable execution state saved to storage.</w:t>
            </w:r>
          </w:p>
        </w:tc>
      </w:tr>
      <w:tr>
        <w:tc>
          <w:tcPr>
            <w:tcW w:type="dxa" w:w="2340"/>
            <w:tcMar>
              <w:top w:w="80" w:type="dxa"/>
              <w:start w:w="80" w:type="dxa"/>
              <w:bottom w:w="80" w:type="dxa"/>
              <w:end w:w="80" w:type="dxa"/>
            </w:tcMar>
          </w:tcPr>
          <w:p>
            <w:pPr>
              <w:jc w:val="left"/>
            </w:pPr>
            <w:r>
              <w:rPr>
                <w:rFonts w:ascii="Arial" w:hAnsi="Arial"/>
                <w:b/>
                <w:sz w:val="20"/>
              </w:rPr>
              <w:t>Digital Workspaces</w:t>
            </w:r>
          </w:p>
        </w:tc>
        <w:tc>
          <w:tcPr>
            <w:tcW w:type="dxa" w:w="2340"/>
            <w:tcMar>
              <w:top w:w="80" w:type="dxa"/>
              <w:start w:w="80" w:type="dxa"/>
              <w:bottom w:w="80" w:type="dxa"/>
              <w:end w:w="80" w:type="dxa"/>
            </w:tcMar>
          </w:tcPr>
          <w:p>
            <w:pPr>
              <w:jc w:val="left"/>
            </w:pPr>
            <w:r>
              <w:rPr>
                <w:rFonts w:ascii="Arial" w:hAnsi="Arial"/>
                <w:sz w:val="20"/>
              </w:rPr>
              <w:t>Sandboxed single-request tool calls.</w:t>
            </w:r>
          </w:p>
        </w:tc>
        <w:tc>
          <w:tcPr>
            <w:tcW w:type="dxa" w:w="2340"/>
            <w:tcMar>
              <w:top w:w="80" w:type="dxa"/>
              <w:start w:w="80" w:type="dxa"/>
              <w:bottom w:w="80" w:type="dxa"/>
              <w:end w:w="80" w:type="dxa"/>
            </w:tcMar>
          </w:tcPr>
          <w:p>
            <w:pPr>
              <w:jc w:val="left"/>
            </w:pPr>
            <w:r>
              <w:rPr>
                <w:rFonts w:ascii="Arial" w:hAnsi="Arial"/>
                <w:sz w:val="20"/>
              </w:rPr>
              <w:t>Shared temporary scratchpads per agent.</w:t>
            </w:r>
          </w:p>
        </w:tc>
        <w:tc>
          <w:tcPr>
            <w:tcW w:type="dxa" w:w="2340"/>
            <w:tcMar>
              <w:top w:w="80" w:type="dxa"/>
              <w:start w:w="80" w:type="dxa"/>
              <w:bottom w:w="80" w:type="dxa"/>
              <w:end w:w="80" w:type="dxa"/>
            </w:tcMar>
          </w:tcPr>
          <w:p>
            <w:pPr>
              <w:jc w:val="left"/>
            </w:pPr>
            <w:r>
              <w:rPr>
                <w:rFonts w:ascii="Arial" w:hAnsi="Arial"/>
                <w:sz w:val="20"/>
              </w:rPr>
              <w:t>Dedicated long-lived environments (file systems, terminal, enterprise APIs).</w:t>
            </w:r>
          </w:p>
        </w:tc>
      </w:tr>
      <w:tr>
        <w:tc>
          <w:tcPr>
            <w:tcW w:type="dxa" w:w="2340"/>
            <w:tcMar>
              <w:top w:w="80" w:type="dxa"/>
              <w:start w:w="80" w:type="dxa"/>
              <w:bottom w:w="80" w:type="dxa"/>
              <w:end w:w="80" w:type="dxa"/>
            </w:tcMar>
          </w:tcPr>
          <w:p>
            <w:pPr>
              <w:jc w:val="left"/>
            </w:pPr>
            <w:r>
              <w:rPr>
                <w:rFonts w:ascii="Arial" w:hAnsi="Arial"/>
                <w:b/>
                <w:sz w:val="20"/>
              </w:rPr>
              <w:t>Decision Autonomy</w:t>
            </w:r>
          </w:p>
        </w:tc>
        <w:tc>
          <w:tcPr>
            <w:tcW w:type="dxa" w:w="2340"/>
            <w:tcMar>
              <w:top w:w="80" w:type="dxa"/>
              <w:start w:w="80" w:type="dxa"/>
              <w:bottom w:w="80" w:type="dxa"/>
              <w:end w:w="80" w:type="dxa"/>
            </w:tcMar>
          </w:tcPr>
          <w:p>
            <w:pPr>
              <w:jc w:val="left"/>
            </w:pPr>
            <w:r>
              <w:rPr>
                <w:rFonts w:ascii="Arial" w:hAnsi="Arial"/>
                <w:sz w:val="20"/>
              </w:rPr>
              <w:t>Human-guided, step-by-step prompt interaction.</w:t>
            </w:r>
          </w:p>
        </w:tc>
        <w:tc>
          <w:tcPr>
            <w:tcW w:type="dxa" w:w="2340"/>
            <w:tcMar>
              <w:top w:w="80" w:type="dxa"/>
              <w:start w:w="80" w:type="dxa"/>
              <w:bottom w:w="80" w:type="dxa"/>
              <w:end w:w="80" w:type="dxa"/>
            </w:tcMar>
          </w:tcPr>
          <w:p>
            <w:pPr>
              <w:jc w:val="left"/>
            </w:pPr>
            <w:r>
              <w:rPr>
                <w:rFonts w:ascii="Arial" w:hAnsi="Arial"/>
                <w:sz w:val="20"/>
              </w:rPr>
              <w:t>Pre-defined task delegation across agents.</w:t>
            </w:r>
          </w:p>
        </w:tc>
        <w:tc>
          <w:tcPr>
            <w:tcW w:type="dxa" w:w="2340"/>
            <w:tcMar>
              <w:top w:w="80" w:type="dxa"/>
              <w:start w:w="80" w:type="dxa"/>
              <w:bottom w:w="80" w:type="dxa"/>
              <w:end w:w="80" w:type="dxa"/>
            </w:tcMar>
          </w:tcPr>
          <w:p>
            <w:pPr>
              <w:jc w:val="left"/>
            </w:pPr>
            <w:r>
              <w:rPr>
                <w:rFonts w:ascii="Arial" w:hAnsi="Arial"/>
                <w:sz w:val="20"/>
              </w:rPr>
              <w:t>Autonomous self-reflection, trajectory tracking, and re-planning.</w:t>
            </w:r>
          </w:p>
        </w:tc>
      </w:tr>
      <w:tr>
        <w:tc>
          <w:tcPr>
            <w:tcW w:type="dxa" w:w="2340"/>
            <w:tcMar>
              <w:top w:w="80" w:type="dxa"/>
              <w:start w:w="80" w:type="dxa"/>
              <w:bottom w:w="80" w:type="dxa"/>
              <w:end w:w="80" w:type="dxa"/>
            </w:tcMar>
          </w:tcPr>
          <w:p>
            <w:pPr>
              <w:jc w:val="left"/>
            </w:pPr>
            <w:r>
              <w:rPr>
                <w:rFonts w:ascii="Arial" w:hAnsi="Arial"/>
                <w:b/>
                <w:sz w:val="20"/>
              </w:rPr>
              <w:t>Human Interaction</w:t>
            </w:r>
          </w:p>
        </w:tc>
        <w:tc>
          <w:tcPr>
            <w:tcW w:type="dxa" w:w="2340"/>
            <w:tcMar>
              <w:top w:w="80" w:type="dxa"/>
              <w:start w:w="80" w:type="dxa"/>
              <w:bottom w:w="80" w:type="dxa"/>
              <w:end w:w="80" w:type="dxa"/>
            </w:tcMar>
          </w:tcPr>
          <w:p>
            <w:pPr>
              <w:jc w:val="left"/>
            </w:pPr>
            <w:r>
              <w:rPr>
                <w:rFonts w:ascii="Arial" w:hAnsi="Arial"/>
                <w:sz w:val="20"/>
              </w:rPr>
              <w:t>Direct, synchronous back-and-forth engagement.</w:t>
            </w:r>
          </w:p>
        </w:tc>
        <w:tc>
          <w:tcPr>
            <w:tcW w:type="dxa" w:w="2340"/>
            <w:tcMar>
              <w:top w:w="80" w:type="dxa"/>
              <w:start w:w="80" w:type="dxa"/>
              <w:bottom w:w="80" w:type="dxa"/>
              <w:end w:w="80" w:type="dxa"/>
            </w:tcMar>
          </w:tcPr>
          <w:p>
            <w:pPr>
              <w:jc w:val="left"/>
            </w:pPr>
            <w:r>
              <w:rPr>
                <w:rFonts w:ascii="Arial" w:hAnsi="Arial"/>
                <w:sz w:val="20"/>
              </w:rPr>
              <w:t>Unattended batch execution; unhandled errors cause failure.</w:t>
            </w:r>
          </w:p>
        </w:tc>
        <w:tc>
          <w:tcPr>
            <w:tcW w:type="dxa" w:w="2340"/>
            <w:tcMar>
              <w:top w:w="80" w:type="dxa"/>
              <w:start w:w="80" w:type="dxa"/>
              <w:bottom w:w="80" w:type="dxa"/>
              <w:end w:w="80" w:type="dxa"/>
            </w:tcMar>
          </w:tcPr>
          <w:p>
            <w:pPr>
              <w:jc w:val="left"/>
            </w:pPr>
            <w:r>
              <w:rPr>
                <w:rFonts w:ascii="Arial" w:hAnsi="Arial"/>
                <w:sz w:val="20"/>
              </w:rPr>
              <w:t>Asynchronous pause-and-resume; hibernates while awaiting approvals.</w:t>
            </w:r>
          </w:p>
        </w:tc>
      </w:tr>
      <w:tr>
        <w:tc>
          <w:tcPr>
            <w:tcW w:type="dxa" w:w="2340"/>
            <w:tcMar>
              <w:top w:w="80" w:type="dxa"/>
              <w:start w:w="80" w:type="dxa"/>
              <w:bottom w:w="80" w:type="dxa"/>
              <w:end w:w="80" w:type="dxa"/>
            </w:tcMar>
          </w:tcPr>
          <w:p>
            <w:pPr>
              <w:jc w:val="left"/>
            </w:pPr>
            <w:r>
              <w:rPr>
                <w:rFonts w:ascii="Arial" w:hAnsi="Arial"/>
                <w:b/>
                <w:sz w:val="20"/>
              </w:rPr>
              <w:t>Primary Operational Failure Modes</w:t>
            </w:r>
          </w:p>
        </w:tc>
        <w:tc>
          <w:tcPr>
            <w:tcW w:type="dxa" w:w="2340"/>
            <w:tcMar>
              <w:top w:w="80" w:type="dxa"/>
              <w:start w:w="80" w:type="dxa"/>
              <w:bottom w:w="80" w:type="dxa"/>
              <w:end w:w="80" w:type="dxa"/>
            </w:tcMar>
          </w:tcPr>
          <w:p>
            <w:pPr>
              <w:jc w:val="left"/>
            </w:pPr>
            <w:r>
              <w:rPr>
                <w:rFonts w:ascii="Arial" w:hAnsi="Arial"/>
                <w:sz w:val="20"/>
              </w:rPr>
              <w:t>Context exhaustion, prompt drift, immediate session termination.</w:t>
            </w:r>
          </w:p>
        </w:tc>
        <w:tc>
          <w:tcPr>
            <w:tcW w:type="dxa" w:w="2340"/>
            <w:tcMar>
              <w:top w:w="80" w:type="dxa"/>
              <w:start w:w="80" w:type="dxa"/>
              <w:bottom w:w="80" w:type="dxa"/>
              <w:end w:w="80" w:type="dxa"/>
            </w:tcMar>
          </w:tcPr>
          <w:p>
            <w:pPr>
              <w:jc w:val="left"/>
            </w:pPr>
            <w:r>
              <w:rPr>
                <w:rFonts w:ascii="Arial" w:hAnsi="Arial"/>
                <w:sz w:val="20"/>
              </w:rPr>
              <w:t>Inter-agent coordination overhead, message flooding, error cascades.</w:t>
            </w:r>
          </w:p>
        </w:tc>
        <w:tc>
          <w:tcPr>
            <w:tcW w:type="dxa" w:w="2340"/>
            <w:tcMar>
              <w:top w:w="80" w:type="dxa"/>
              <w:start w:w="80" w:type="dxa"/>
              <w:bottom w:w="80" w:type="dxa"/>
              <w:end w:w="80" w:type="dxa"/>
            </w:tcMar>
          </w:tcPr>
          <w:p>
            <w:pPr>
              <w:jc w:val="left"/>
            </w:pPr>
            <w:r>
              <w:rPr>
                <w:rFonts w:ascii="Arial" w:hAnsi="Arial"/>
                <w:sz w:val="20"/>
              </w:rPr>
              <w:t>Memory accumulation drift, circular retry loops, token budget overruns.</w:t>
            </w:r>
          </w:p>
        </w:tc>
      </w:tr>
      <w:tr>
        <w:tc>
          <w:tcPr>
            <w:tcW w:type="dxa" w:w="2340"/>
            <w:tcMar>
              <w:top w:w="80" w:type="dxa"/>
              <w:start w:w="80" w:type="dxa"/>
              <w:bottom w:w="80" w:type="dxa"/>
              <w:end w:w="80" w:type="dxa"/>
            </w:tcMar>
          </w:tcPr>
          <w:p>
            <w:pPr>
              <w:jc w:val="left"/>
            </w:pPr>
            <w:r>
              <w:rPr>
                <w:rFonts w:ascii="Arial" w:hAnsi="Arial"/>
                <w:b/>
                <w:sz w:val="20"/>
              </w:rPr>
              <w:t>Core Enterprise Use Cases</w:t>
            </w:r>
          </w:p>
        </w:tc>
        <w:tc>
          <w:tcPr>
            <w:tcW w:type="dxa" w:w="2340"/>
            <w:tcMar>
              <w:top w:w="80" w:type="dxa"/>
              <w:start w:w="80" w:type="dxa"/>
              <w:bottom w:w="80" w:type="dxa"/>
              <w:end w:w="80" w:type="dxa"/>
            </w:tcMar>
          </w:tcPr>
          <w:p>
            <w:pPr>
              <w:jc w:val="left"/>
            </w:pPr>
            <w:r>
              <w:rPr>
                <w:rFonts w:ascii="Arial" w:hAnsi="Arial"/>
                <w:sz w:val="20"/>
              </w:rPr>
              <w:t>Interactive code completion, pair writing, live document search.</w:t>
            </w:r>
          </w:p>
        </w:tc>
        <w:tc>
          <w:tcPr>
            <w:tcW w:type="dxa" w:w="2340"/>
            <w:tcMar>
              <w:top w:w="80" w:type="dxa"/>
              <w:start w:w="80" w:type="dxa"/>
              <w:bottom w:w="80" w:type="dxa"/>
              <w:end w:w="80" w:type="dxa"/>
            </w:tcMar>
          </w:tcPr>
          <w:p>
            <w:pPr>
              <w:jc w:val="left"/>
            </w:pPr>
            <w:r>
              <w:rPr>
                <w:rFonts w:ascii="Arial" w:hAnsi="Arial"/>
                <w:sz w:val="20"/>
              </w:rPr>
              <w:t>Parallel web research, batch processing, data extraction.</w:t>
            </w:r>
          </w:p>
        </w:tc>
        <w:tc>
          <w:tcPr>
            <w:tcW w:type="dxa" w:w="2340"/>
            <w:tcMar>
              <w:top w:w="80" w:type="dxa"/>
              <w:start w:w="80" w:type="dxa"/>
              <w:bottom w:w="80" w:type="dxa"/>
              <w:end w:w="80" w:type="dxa"/>
            </w:tcMar>
          </w:tcPr>
          <w:p>
            <w:pPr>
              <w:jc w:val="left"/>
            </w:pPr>
            <w:r>
              <w:rPr>
                <w:rFonts w:ascii="Arial" w:hAnsi="Arial"/>
                <w:sz w:val="20"/>
              </w:rPr>
              <w:t>Autonomous BDR lead qualification, ITSM access automation, Financial KYC, Tail Procurement.</w:t>
            </w:r>
          </w:p>
        </w:tc>
      </w:tr>
    </w:tbl>
    <w:p>
      <w:pPr>
        <w:pStyle w:val="Heading3"/>
      </w:pPr>
      <w:r>
        <w:t>End-to-End Operational Workflow: The Lifecycle of an IT Service Agent</w:t>
      </w:r>
    </w:p>
    <w:p>
      <w:pPr>
        <w:jc w:val="left"/>
      </w:pPr>
      <w:r>
        <w:t>To understand how durable execution state functions in practice, consider the lifecycle of an autonomous IT service management agent handling a sensitive corporate access request.</w:t>
      </w:r>
    </w:p>
    <w:p>
      <w:pPr>
        <w:jc w:val="left"/>
      </w:pPr>
      <w:r>
        <w:t>Step 1: Ticket Ingestion &amp; Initialization. An employee submits a helpdesk ticket requesting temporary elevated administrative access to a production database. A system webhook wakes the IT service agent, which ingests the request metadata—including user identity, target system, requested duration, and justification—and saves an initial execution checkpoint to storage.</w:t>
      </w:r>
    </w:p>
    <w:p>
      <w:pPr>
        <w:jc w:val="left"/>
      </w:pPr>
      <w:r>
        <w:t>Step 2: Policy Verification &amp; Identity Pre-Checks. The agent connects to corporate identity registries such as Okta or Entra ID alongside HR records. It verifies the employee's active standing, role permissions, and historical compliance record. Evaluating these attributes against company security rules, the agent determines that production database access requires explicit approval from both the employee's manager and the Security Operations team.</w:t>
      </w:r>
    </w:p>
    <w:p>
      <w:pPr>
        <w:jc w:val="left"/>
      </w:pPr>
      <w:r>
        <w:t>Step 3: Hibernation &amp; Approval Dispatch. The agent formats a detailed risk assessment containing contextual links and dispatches approval notifications to Slack and ServiceNow. Because human approvals take hours to arrive, the agent serializes its complete tool state and execution memory to persistent storage. It then hibernates, freeing all system memory and consuming zero LLM tokens while it waits.</w:t>
      </w:r>
    </w:p>
    <w:p>
      <w:pPr>
        <w:jc w:val="left"/>
      </w:pPr>
      <w:r>
        <w:t>Step 4: Event Re-Activation &amp; Provisioning. Fourteen hours later, a security manager approves the request via Slack. The incoming webhook re-activates the agent thread. Restoring its saved state from disk, the agent verifies the cryptographic approval token and invokes credentials management tools—such as HashiCorp Vault or AWS IAM—to generate scoped, time-bound database credentials.</w:t>
      </w:r>
    </w:p>
    <w:p>
      <w:pPr>
        <w:jc w:val="left"/>
      </w:pPr>
      <w:r>
        <w:t>Step 5: Verification, Audit Logging &amp; Closure. The agent runs a synthetic connection test to confirm that access is active, securely delivers credential instructions to the requesting employee, and writes an immutable audit record to Datadog and Splunk. It marks the ticket resolved, schedules a background revocation check for when the credential lifetime expires, and safely terminates its active thread.</w:t>
      </w:r>
    </w:p>
    <w:p>
      <w:pPr>
        <w:pStyle w:val="Heading2"/>
      </w:pPr>
      <w:r>
        <w:t>2. High-Value Enterprise Use Cases</w:t>
      </w:r>
    </w:p>
    <w:p>
      <w:pPr>
        <w:pStyle w:val="Heading3"/>
      </w:pPr>
      <w:r>
        <w:t>Criteria for Ideal Early Agent Deployment</w:t>
      </w:r>
    </w:p>
    <w:p>
      <w:pPr>
        <w:jc w:val="left"/>
      </w:pPr>
      <w:r>
        <w:t>While software engineering tools represent the largest headline application area for AI agents, coding agents have matured into an intensely saturated red-ocean market dominated by frontier labs and specialized startups (such as Cognition/Devin, Factory, and OpenHands). The next best commercial opportunities for enterprise AI agent ventures reside in core business operations. The most viable target workflows share four structural characteristics:</w:t>
      </w:r>
    </w:p>
    <w:p>
      <w:pPr>
        <w:jc w:val="left"/>
      </w:pPr>
      <w:r>
        <w:t xml:space="preserve">1. </w:t>
      </w:r>
      <w:r>
        <w:rPr>
          <w:b/>
        </w:rPr>
        <w:t>Deterministic Decision Rules</w:t>
      </w:r>
      <w:r>
        <w:t>: Clear, policy-governed logic where operational pathways can be validated against explicit enterprise rules.</w:t>
      </w:r>
    </w:p>
    <w:p>
      <w:pPr>
        <w:jc w:val="left"/>
      </w:pPr>
      <w:r>
        <w:t xml:space="preserve">2. </w:t>
      </w:r>
      <w:r>
        <w:rPr>
          <w:b/>
        </w:rPr>
        <w:t>High Transaction Volume</w:t>
      </w:r>
      <w:r>
        <w:t>: Repetitive, labor-intensive tasks where automated execution delivers linear capacity scaling.</w:t>
      </w:r>
    </w:p>
    <w:p>
      <w:pPr>
        <w:jc w:val="left"/>
      </w:pPr>
      <w:r>
        <w:t xml:space="preserve">3. </w:t>
      </w:r>
      <w:r>
        <w:rPr>
          <w:b/>
        </w:rPr>
        <w:t>Strict Security Boundaries</w:t>
      </w:r>
      <w:r>
        <w:t>: Well-defined permission models requiring role-based access controls and immutable audit trails.</w:t>
      </w:r>
    </w:p>
    <w:p>
      <w:pPr>
        <w:jc w:val="left"/>
      </w:pPr>
      <w:r>
        <w:t xml:space="preserve">4. </w:t>
      </w:r>
      <w:r>
        <w:rPr>
          <w:b/>
        </w:rPr>
        <w:t>Direct Financial ROI</w:t>
      </w:r>
      <w:r>
        <w:t>: Clear operational metrics with immediate, measurable impacts on cost per transaction.</w:t>
      </w:r>
    </w:p>
    <w:p>
      <w:pPr>
        <w:pStyle w:val="Heading3"/>
      </w:pPr>
      <w:r>
        <w:t>Primary Use Case Deep Dives</w:t>
      </w:r>
    </w:p>
    <w:p>
      <w:pPr>
        <w:jc w:val="left"/>
      </w:pPr>
      <w:r>
        <w:t>#### Outbound Business Development: Autonomous Prospect Sourcing and Qualification</w:t>
      </w:r>
    </w:p>
    <w:p>
      <w:pPr>
        <w:pStyle w:val="Quote"/>
      </w:pPr>
      <w:r>
        <w:rPr>
          <w:b/>
          <w:i/>
        </w:rPr>
        <w:t>Profile:</w:t>
      </w:r>
      <w:r>
        <w:rPr>
          <w:i/>
        </w:rPr>
        <w:t xml:space="preserve"> An autonomous sales worker that identifies, enriches, and qualifies prospective corporate accounts.</w:t>
      </w:r>
    </w:p>
    <w:p>
      <w:pPr>
        <w:jc w:val="left"/>
      </w:pPr>
      <w:r>
        <w:t>An outbound sales agent operates continuously across commercial databases and public registries to construct targeted prospect lists. It enriches contact profiles, crafts tailored outreach messages based on company news or filing data, and evaluates incoming responses against Ideal Customer Profiles.</w:t>
      </w:r>
    </w:p>
    <w:p>
      <w:pPr>
        <w:jc w:val="left"/>
      </w:pPr>
      <w:r>
        <w:t>To prevent brand damage, strict guardrails are enforced: daily outreach caps, automated opt-out processing, and mandatory handoffs to human sales executives as soon as a prospect meets qualification criteria. This workflow offers an immediate internal benefit. By deploying the outbound agent to source its own prospective enterprise clients, the company dog-foods its product—refining data scrapers and messaging logic on live market interactions while building its sales pipeline. Key performance indicators include cost per qualified opportunity, meeting booking rate, and data enrichment precision.</w:t>
      </w:r>
    </w:p>
    <w:p>
      <w:pPr>
        <w:jc w:val="left"/>
      </w:pPr>
      <w:r>
        <w:t>#### IT Service Management: Automated Helpdesk Resolution and Access Control</w:t>
      </w:r>
    </w:p>
    <w:p>
      <w:pPr>
        <w:pStyle w:val="Quote"/>
      </w:pPr>
      <w:r>
        <w:rPr>
          <w:b/>
          <w:i/>
        </w:rPr>
        <w:t>Profile:</w:t>
      </w:r>
      <w:r>
        <w:rPr>
          <w:i/>
        </w:rPr>
        <w:t xml:space="preserve"> An autonomous IT AI worker that ingests, diagnoses, and resolves corporate IT helpdesk tickets and user access requests.</w:t>
      </w:r>
    </w:p>
    <w:p>
      <w:pPr>
        <w:jc w:val="left"/>
      </w:pPr>
      <w:r>
        <w:t>An IT service management agent monitors enterprise ticketing platforms such as ServiceNow or Jira Service Management alongside chat channels like Slack and Teams. It parses user tickets, inspects identity systems, runs diagnostic scripts, executes password resets or application provisioning, and verifies resolution before closing tickets.</w:t>
      </w:r>
    </w:p>
    <w:p>
      <w:pPr>
        <w:jc w:val="left"/>
      </w:pPr>
      <w:r>
        <w:t>Safety guardrails rely on role-based access caps, mandatory human approvals for elevated administrative privileges, and comprehensive execution logs. Deployed internally first, the agent handles the company's own IT tickets, allowing engineers to refine API connectors on real internal requests prior to commercial rollout. Key metrics include a 70% to 80% auto-resolution rate for routine helpdesk tickets, mean time to resolution reduced from hours to seconds, and a 100% compliance audit pass rate.</w:t>
      </w:r>
    </w:p>
    <w:p>
      <w:pPr>
        <w:jc w:val="left"/>
      </w:pPr>
      <w:r>
        <w:t>#### Tail Procurement: Automating Supplier RFQs</w:t>
      </w:r>
    </w:p>
    <w:p>
      <w:pPr>
        <w:pStyle w:val="Quote"/>
      </w:pPr>
      <w:r>
        <w:rPr>
          <w:b/>
          <w:i/>
        </w:rPr>
        <w:t>Profile:</w:t>
      </w:r>
      <w:r>
        <w:rPr>
          <w:i/>
        </w:rPr>
        <w:t xml:space="preserve"> An autonomous procurement worker that manages request-for-quote cycles across secondary and tertiary supplier catalogs.</w:t>
      </w:r>
    </w:p>
    <w:p>
      <w:pPr>
        <w:jc w:val="left"/>
      </w:pPr>
      <w:r>
        <w:t>Enterprise procurement departments frequently neglect tail spend—unmanaged, small-dollar purchases across hundreds of secondary vendors. A tail procurement agent monitors internal purchase requisitions, identifies candidate suppliers, issues standardized requests for quotes (RFQs), evaluates incoming bids against purchasing policies, and recommends purchase decisions.</w:t>
      </w:r>
    </w:p>
    <w:p>
      <w:pPr>
        <w:jc w:val="left"/>
      </w:pPr>
      <w:r>
        <w:t>Guardrails include hard spending limits, pre-approved vendor lists, and mandatory human escalation whenever quote prices vary beyond expected thresholds. Using the agent internally to manage the company's own vendor spending refines bid-parsing logic while cutting internal procurement overhead by 8% to 12%. Key metrics include a 75% reduction in RFQ cycle times, an 8% to 12% reduction in tail spend costs, and total audit compliance.</w:t>
      </w:r>
    </w:p>
    <w:p>
      <w:pPr>
        <w:jc w:val="left"/>
      </w:pPr>
      <w:r>
        <w:t>#### Financial Services: Document Verification, KYC, and Credit Origination</w:t>
      </w:r>
    </w:p>
    <w:p>
      <w:pPr>
        <w:pStyle w:val="Quote"/>
      </w:pPr>
      <w:r>
        <w:rPr>
          <w:b/>
          <w:i/>
        </w:rPr>
        <w:t>Profile:</w:t>
      </w:r>
      <w:r>
        <w:rPr>
          <w:i/>
        </w:rPr>
        <w:t xml:space="preserve"> An autonomous compliance specialist that automates applicant document intake, identity verification, and credit risk analysis.</w:t>
      </w:r>
    </w:p>
    <w:p>
      <w:pPr>
        <w:jc w:val="left"/>
      </w:pPr>
      <w:r>
        <w:t>In financial services, an intake agent processes complex applicant documentation—including tax returns, bank statements, and corporate filings. It queries credit bureaus and anti-money laundering databases, calculates debt ratios and risk scores, and compiles complete credit packages with recommended lending terms.</w:t>
      </w:r>
    </w:p>
    <w:p>
      <w:pPr>
        <w:jc w:val="left"/>
      </w:pPr>
      <w:r>
        <w:t>Operating in highly regulated financial environments demands strict, multi-layered guardrails. System policy engines enforce hard regulatory boundaries across FCRA, Fair Lending, and KYC/AML mandates. Autonomous execution is strictly bounded: while the agent parses documents and drafts underwriting packages, mandatory human-in-the-loop (HITL) sign-off is required from licensed underwriters for any credit decision, adverse action, or flagged AML risk. Furthermore, every data extraction, risk score, and API query is recorded to an immutable, tamper-evident audit log to ensure total regulatory transparency and zero-data-retention compliance for sensitive consumer PII.</w:t>
      </w:r>
    </w:p>
    <w:p>
      <w:pPr>
        <w:pStyle w:val="Heading3"/>
      </w:pPr>
      <w:r>
        <w:t>Comparative Use Case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Mar>
              <w:top w:w="80" w:type="dxa"/>
              <w:start w:w="80" w:type="dxa"/>
              <w:bottom w:w="80" w:type="dxa"/>
              <w:end w:w="80" w:type="dxa"/>
            </w:tcMar>
          </w:tcPr>
          <w:p>
            <w:pPr>
              <w:jc w:val="left"/>
            </w:pPr>
            <w:r>
              <w:rPr>
                <w:rFonts w:ascii="Arial" w:hAnsi="Arial"/>
                <w:b/>
                <w:sz w:val="20"/>
              </w:rPr>
              <w:t>Use Case</w:t>
            </w:r>
          </w:p>
        </w:tc>
        <w:tc>
          <w:tcPr>
            <w:tcW w:type="dxa" w:w="1872"/>
            <w:tcMar>
              <w:top w:w="80" w:type="dxa"/>
              <w:start w:w="80" w:type="dxa"/>
              <w:bottom w:w="80" w:type="dxa"/>
              <w:end w:w="80" w:type="dxa"/>
            </w:tcMar>
          </w:tcPr>
          <w:p>
            <w:pPr>
              <w:jc w:val="left"/>
            </w:pPr>
            <w:r>
              <w:rPr>
                <w:rFonts w:ascii="Arial" w:hAnsi="Arial"/>
                <w:b/>
                <w:sz w:val="20"/>
              </w:rPr>
              <w:t>Core Operational Workflow</w:t>
            </w:r>
          </w:p>
        </w:tc>
        <w:tc>
          <w:tcPr>
            <w:tcW w:type="dxa" w:w="1872"/>
            <w:tcMar>
              <w:top w:w="80" w:type="dxa"/>
              <w:start w:w="80" w:type="dxa"/>
              <w:bottom w:w="80" w:type="dxa"/>
              <w:end w:w="80" w:type="dxa"/>
            </w:tcMar>
          </w:tcPr>
          <w:p>
            <w:pPr>
              <w:jc w:val="left"/>
            </w:pPr>
            <w:r>
              <w:rPr>
                <w:rFonts w:ascii="Arial" w:hAnsi="Arial"/>
                <w:b/>
                <w:sz w:val="20"/>
              </w:rPr>
              <w:t>Primary Guardrail</w:t>
            </w:r>
          </w:p>
        </w:tc>
        <w:tc>
          <w:tcPr>
            <w:tcW w:type="dxa" w:w="1872"/>
            <w:tcMar>
              <w:top w:w="80" w:type="dxa"/>
              <w:start w:w="80" w:type="dxa"/>
              <w:bottom w:w="80" w:type="dxa"/>
              <w:end w:w="80" w:type="dxa"/>
            </w:tcMar>
          </w:tcPr>
          <w:p>
            <w:pPr>
              <w:jc w:val="left"/>
            </w:pPr>
            <w:r>
              <w:rPr>
                <w:rFonts w:ascii="Arial" w:hAnsi="Arial"/>
                <w:b/>
                <w:sz w:val="20"/>
              </w:rPr>
              <w:t>Dog-Fooding &amp; Dual Benefit Strategy</w:t>
            </w:r>
          </w:p>
        </w:tc>
        <w:tc>
          <w:tcPr>
            <w:tcW w:type="dxa" w:w="1872"/>
            <w:tcMar>
              <w:top w:w="80" w:type="dxa"/>
              <w:start w:w="80" w:type="dxa"/>
              <w:bottom w:w="80" w:type="dxa"/>
              <w:end w:w="80" w:type="dxa"/>
            </w:tcMar>
          </w:tcPr>
          <w:p>
            <w:pPr>
              <w:jc w:val="left"/>
            </w:pPr>
            <w:r>
              <w:rPr>
                <w:rFonts w:ascii="Arial" w:hAnsi="Arial"/>
                <w:b/>
                <w:sz w:val="20"/>
              </w:rPr>
              <w:t>Key Quantitative KPI</w:t>
            </w:r>
          </w:p>
        </w:tc>
      </w:tr>
      <w:tr>
        <w:tc>
          <w:tcPr>
            <w:tcW w:type="dxa" w:w="1872"/>
            <w:tcMar>
              <w:top w:w="80" w:type="dxa"/>
              <w:start w:w="80" w:type="dxa"/>
              <w:bottom w:w="80" w:type="dxa"/>
              <w:end w:w="80" w:type="dxa"/>
            </w:tcMar>
          </w:tcPr>
          <w:p>
            <w:pPr>
              <w:jc w:val="left"/>
            </w:pPr>
            <w:r>
              <w:rPr>
                <w:rFonts w:ascii="Arial" w:hAnsi="Arial"/>
                <w:b/>
                <w:sz w:val="20"/>
              </w:rPr>
              <w:t>Outbound BDR</w:t>
            </w:r>
          </w:p>
        </w:tc>
        <w:tc>
          <w:tcPr>
            <w:tcW w:type="dxa" w:w="1872"/>
            <w:tcMar>
              <w:top w:w="80" w:type="dxa"/>
              <w:start w:w="80" w:type="dxa"/>
              <w:bottom w:w="80" w:type="dxa"/>
              <w:end w:w="80" w:type="dxa"/>
            </w:tcMar>
          </w:tcPr>
          <w:p>
            <w:pPr>
              <w:jc w:val="left"/>
            </w:pPr>
            <w:r>
              <w:rPr>
                <w:rFonts w:ascii="Arial" w:hAnsi="Arial"/>
                <w:sz w:val="20"/>
              </w:rPr>
              <w:t>Prospecting, contact enrichment, qualification outreach.</w:t>
            </w:r>
          </w:p>
        </w:tc>
        <w:tc>
          <w:tcPr>
            <w:tcW w:type="dxa" w:w="1872"/>
            <w:tcMar>
              <w:top w:w="80" w:type="dxa"/>
              <w:start w:w="80" w:type="dxa"/>
              <w:bottom w:w="80" w:type="dxa"/>
              <w:end w:w="80" w:type="dxa"/>
            </w:tcMar>
          </w:tcPr>
          <w:p>
            <w:pPr>
              <w:jc w:val="left"/>
            </w:pPr>
            <w:r>
              <w:rPr>
                <w:rFonts w:ascii="Arial" w:hAnsi="Arial"/>
                <w:sz w:val="20"/>
              </w:rPr>
              <w:t>Outreach limits, opt-out processing, &amp; mandatory human sales handoffs.</w:t>
            </w:r>
          </w:p>
        </w:tc>
        <w:tc>
          <w:tcPr>
            <w:tcW w:type="dxa" w:w="1872"/>
            <w:tcMar>
              <w:top w:w="80" w:type="dxa"/>
              <w:start w:w="80" w:type="dxa"/>
              <w:bottom w:w="80" w:type="dxa"/>
              <w:end w:w="80" w:type="dxa"/>
            </w:tcMar>
          </w:tcPr>
          <w:p>
            <w:pPr>
              <w:jc w:val="left"/>
            </w:pPr>
            <w:r>
              <w:rPr>
                <w:rFonts w:ascii="Arial" w:hAnsi="Arial"/>
                <w:b/>
                <w:sz w:val="20"/>
              </w:rPr>
              <w:t>High:</w:t>
            </w:r>
            <w:r>
              <w:rPr>
                <w:rFonts w:ascii="Arial" w:hAnsi="Arial"/>
                <w:sz w:val="20"/>
              </w:rPr>
              <w:t xml:space="preserve"> Sources internal customer pipeline while refining data scrapers on live market leads.</w:t>
            </w:r>
          </w:p>
        </w:tc>
        <w:tc>
          <w:tcPr>
            <w:tcW w:type="dxa" w:w="1872"/>
            <w:tcMar>
              <w:top w:w="80" w:type="dxa"/>
              <w:start w:w="80" w:type="dxa"/>
              <w:bottom w:w="80" w:type="dxa"/>
              <w:end w:w="80" w:type="dxa"/>
            </w:tcMar>
          </w:tcPr>
          <w:p>
            <w:pPr>
              <w:jc w:val="left"/>
            </w:pPr>
            <w:r>
              <w:rPr>
                <w:rFonts w:ascii="Arial" w:hAnsi="Arial"/>
                <w:sz w:val="20"/>
              </w:rPr>
              <w:t>Cost per qualified opportunity &amp; meeting booking rate.</w:t>
            </w:r>
          </w:p>
        </w:tc>
      </w:tr>
      <w:tr>
        <w:tc>
          <w:tcPr>
            <w:tcW w:type="dxa" w:w="1872"/>
            <w:tcMar>
              <w:top w:w="80" w:type="dxa"/>
              <w:start w:w="80" w:type="dxa"/>
              <w:bottom w:w="80" w:type="dxa"/>
              <w:end w:w="80" w:type="dxa"/>
            </w:tcMar>
          </w:tcPr>
          <w:p>
            <w:pPr>
              <w:jc w:val="left"/>
            </w:pPr>
            <w:r>
              <w:rPr>
                <w:rFonts w:ascii="Arial" w:hAnsi="Arial"/>
                <w:b/>
                <w:sz w:val="20"/>
              </w:rPr>
              <w:t>ITSM Helpdesk</w:t>
            </w:r>
          </w:p>
        </w:tc>
        <w:tc>
          <w:tcPr>
            <w:tcW w:type="dxa" w:w="1872"/>
            <w:tcMar>
              <w:top w:w="80" w:type="dxa"/>
              <w:start w:w="80" w:type="dxa"/>
              <w:bottom w:w="80" w:type="dxa"/>
              <w:end w:w="80" w:type="dxa"/>
            </w:tcMar>
          </w:tcPr>
          <w:p>
            <w:pPr>
              <w:jc w:val="left"/>
            </w:pPr>
            <w:r>
              <w:rPr>
                <w:rFonts w:ascii="Arial" w:hAnsi="Arial"/>
                <w:sz w:val="20"/>
              </w:rPr>
              <w:t>Ticket parsing, access provisioning, automated troubleshooting.</w:t>
            </w:r>
          </w:p>
        </w:tc>
        <w:tc>
          <w:tcPr>
            <w:tcW w:type="dxa" w:w="1872"/>
            <w:tcMar>
              <w:top w:w="80" w:type="dxa"/>
              <w:start w:w="80" w:type="dxa"/>
              <w:bottom w:w="80" w:type="dxa"/>
              <w:end w:w="80" w:type="dxa"/>
            </w:tcMar>
          </w:tcPr>
          <w:p>
            <w:pPr>
              <w:jc w:val="left"/>
            </w:pPr>
            <w:r>
              <w:rPr>
                <w:rFonts w:ascii="Arial" w:hAnsi="Arial"/>
                <w:sz w:val="20"/>
              </w:rPr>
              <w:t>Role-based access caps, mandatory human approval for elevated privileges, &amp; execution logs.</w:t>
            </w:r>
          </w:p>
        </w:tc>
        <w:tc>
          <w:tcPr>
            <w:tcW w:type="dxa" w:w="1872"/>
            <w:tcMar>
              <w:top w:w="80" w:type="dxa"/>
              <w:start w:w="80" w:type="dxa"/>
              <w:bottom w:w="80" w:type="dxa"/>
              <w:end w:w="80" w:type="dxa"/>
            </w:tcMar>
          </w:tcPr>
          <w:p>
            <w:pPr>
              <w:jc w:val="left"/>
            </w:pPr>
            <w:r>
              <w:rPr>
                <w:rFonts w:ascii="Arial" w:hAnsi="Arial"/>
                <w:b/>
                <w:sz w:val="20"/>
              </w:rPr>
              <w:t>High:</w:t>
            </w:r>
            <w:r>
              <w:rPr>
                <w:rFonts w:ascii="Arial" w:hAnsi="Arial"/>
                <w:sz w:val="20"/>
              </w:rPr>
              <w:t xml:space="preserve"> Resolves internal employee IT tickets while refining API connectors on real internal requests.</w:t>
            </w:r>
          </w:p>
        </w:tc>
        <w:tc>
          <w:tcPr>
            <w:tcW w:type="dxa" w:w="1872"/>
            <w:tcMar>
              <w:top w:w="80" w:type="dxa"/>
              <w:start w:w="80" w:type="dxa"/>
              <w:bottom w:w="80" w:type="dxa"/>
              <w:end w:w="80" w:type="dxa"/>
            </w:tcMar>
          </w:tcPr>
          <w:p>
            <w:pPr>
              <w:jc w:val="left"/>
            </w:pPr>
            <w:r>
              <w:rPr>
                <w:rFonts w:ascii="Arial" w:hAnsi="Arial"/>
                <w:sz w:val="20"/>
              </w:rPr>
              <w:t>70–80% auto-resolution rate &amp; MTTR in seconds.</w:t>
            </w:r>
          </w:p>
        </w:tc>
      </w:tr>
      <w:tr>
        <w:tc>
          <w:tcPr>
            <w:tcW w:type="dxa" w:w="1872"/>
            <w:tcMar>
              <w:top w:w="80" w:type="dxa"/>
              <w:start w:w="80" w:type="dxa"/>
              <w:bottom w:w="80" w:type="dxa"/>
              <w:end w:w="80" w:type="dxa"/>
            </w:tcMar>
          </w:tcPr>
          <w:p>
            <w:pPr>
              <w:jc w:val="left"/>
            </w:pPr>
            <w:r>
              <w:rPr>
                <w:rFonts w:ascii="Arial" w:hAnsi="Arial"/>
                <w:b/>
                <w:sz w:val="20"/>
              </w:rPr>
              <w:t>Tail Procurement RFQs</w:t>
            </w:r>
          </w:p>
        </w:tc>
        <w:tc>
          <w:tcPr>
            <w:tcW w:type="dxa" w:w="1872"/>
            <w:tcMar>
              <w:top w:w="80" w:type="dxa"/>
              <w:start w:w="80" w:type="dxa"/>
              <w:bottom w:w="80" w:type="dxa"/>
              <w:end w:w="80" w:type="dxa"/>
            </w:tcMar>
          </w:tcPr>
          <w:p>
            <w:pPr>
              <w:jc w:val="left"/>
            </w:pPr>
            <w:r>
              <w:rPr>
                <w:rFonts w:ascii="Arial" w:hAnsi="Arial"/>
                <w:sz w:val="20"/>
              </w:rPr>
              <w:t>RFQ issuance, quote evaluation, purchase recommendations.</w:t>
            </w:r>
          </w:p>
        </w:tc>
        <w:tc>
          <w:tcPr>
            <w:tcW w:type="dxa" w:w="1872"/>
            <w:tcMar>
              <w:top w:w="80" w:type="dxa"/>
              <w:start w:w="80" w:type="dxa"/>
              <w:bottom w:w="80" w:type="dxa"/>
              <w:end w:w="80" w:type="dxa"/>
            </w:tcMar>
          </w:tcPr>
          <w:p>
            <w:pPr>
              <w:jc w:val="left"/>
            </w:pPr>
            <w:r>
              <w:rPr>
                <w:rFonts w:ascii="Arial" w:hAnsi="Arial"/>
                <w:sz w:val="20"/>
              </w:rPr>
              <w:t>Hard spending caps, pre-approved vendor lists, &amp; human escalation thresholds.</w:t>
            </w:r>
          </w:p>
        </w:tc>
        <w:tc>
          <w:tcPr>
            <w:tcW w:type="dxa" w:w="1872"/>
            <w:tcMar>
              <w:top w:w="80" w:type="dxa"/>
              <w:start w:w="80" w:type="dxa"/>
              <w:bottom w:w="80" w:type="dxa"/>
              <w:end w:w="80" w:type="dxa"/>
            </w:tcMar>
          </w:tcPr>
          <w:p>
            <w:pPr>
              <w:jc w:val="left"/>
            </w:pPr>
            <w:r>
              <w:rPr>
                <w:rFonts w:ascii="Arial" w:hAnsi="Arial"/>
                <w:b/>
                <w:sz w:val="20"/>
              </w:rPr>
              <w:t>High:</w:t>
            </w:r>
            <w:r>
              <w:rPr>
                <w:rFonts w:ascii="Arial" w:hAnsi="Arial"/>
                <w:sz w:val="20"/>
              </w:rPr>
              <w:t xml:space="preserve"> Manages internal vendor spend while lowering company procurement overhead by 8–12%.</w:t>
            </w:r>
          </w:p>
        </w:tc>
        <w:tc>
          <w:tcPr>
            <w:tcW w:type="dxa" w:w="1872"/>
            <w:tcMar>
              <w:top w:w="80" w:type="dxa"/>
              <w:start w:w="80" w:type="dxa"/>
              <w:bottom w:w="80" w:type="dxa"/>
              <w:end w:w="80" w:type="dxa"/>
            </w:tcMar>
          </w:tcPr>
          <w:p>
            <w:pPr>
              <w:jc w:val="left"/>
            </w:pPr>
            <w:r>
              <w:rPr>
                <w:rFonts w:ascii="Arial" w:hAnsi="Arial"/>
                <w:sz w:val="20"/>
              </w:rPr>
              <w:t>75% faster RFQ cycles &amp; 8–12% tail spend savings.</w:t>
            </w:r>
          </w:p>
        </w:tc>
      </w:tr>
      <w:tr>
        <w:tc>
          <w:tcPr>
            <w:tcW w:type="dxa" w:w="1872"/>
            <w:tcMar>
              <w:top w:w="80" w:type="dxa"/>
              <w:start w:w="80" w:type="dxa"/>
              <w:bottom w:w="80" w:type="dxa"/>
              <w:end w:w="80" w:type="dxa"/>
            </w:tcMar>
          </w:tcPr>
          <w:p>
            <w:pPr>
              <w:jc w:val="left"/>
            </w:pPr>
            <w:r>
              <w:rPr>
                <w:rFonts w:ascii="Arial" w:hAnsi="Arial"/>
                <w:b/>
                <w:sz w:val="20"/>
              </w:rPr>
              <w:t>Financial Services KYC &amp; Origination</w:t>
            </w:r>
          </w:p>
        </w:tc>
        <w:tc>
          <w:tcPr>
            <w:tcW w:type="dxa" w:w="1872"/>
            <w:tcMar>
              <w:top w:w="80" w:type="dxa"/>
              <w:start w:w="80" w:type="dxa"/>
              <w:bottom w:w="80" w:type="dxa"/>
              <w:end w:w="80" w:type="dxa"/>
            </w:tcMar>
          </w:tcPr>
          <w:p>
            <w:pPr>
              <w:jc w:val="left"/>
            </w:pPr>
            <w:r>
              <w:rPr>
                <w:rFonts w:ascii="Arial" w:hAnsi="Arial"/>
                <w:sz w:val="20"/>
              </w:rPr>
              <w:t>Document extraction, KYC/AML checks, credit package drafting.</w:t>
            </w:r>
          </w:p>
        </w:tc>
        <w:tc>
          <w:tcPr>
            <w:tcW w:type="dxa" w:w="1872"/>
            <w:tcMar>
              <w:top w:w="80" w:type="dxa"/>
              <w:start w:w="80" w:type="dxa"/>
              <w:bottom w:w="80" w:type="dxa"/>
              <w:end w:w="80" w:type="dxa"/>
            </w:tcMar>
          </w:tcPr>
          <w:p>
            <w:pPr>
              <w:jc w:val="left"/>
            </w:pPr>
            <w:r>
              <w:rPr>
                <w:rFonts w:ascii="Arial" w:hAnsi="Arial"/>
                <w:sz w:val="20"/>
              </w:rPr>
              <w:t>FCRA/Fair Lending policy bounds, mandatory HITL underwriter sign-off, &amp; tamper-evident audit logs.</w:t>
            </w:r>
          </w:p>
        </w:tc>
        <w:tc>
          <w:tcPr>
            <w:tcW w:type="dxa" w:w="1872"/>
            <w:tcMar>
              <w:top w:w="80" w:type="dxa"/>
              <w:start w:w="80" w:type="dxa"/>
              <w:bottom w:w="80" w:type="dxa"/>
              <w:end w:w="80" w:type="dxa"/>
            </w:tcMar>
          </w:tcPr>
          <w:p>
            <w:pPr>
              <w:jc w:val="left"/>
            </w:pPr>
            <w:r>
              <w:rPr>
                <w:rFonts w:ascii="Arial" w:hAnsi="Arial"/>
                <w:b/>
                <w:sz w:val="20"/>
              </w:rPr>
              <w:t>N/A</w:t>
            </w:r>
          </w:p>
        </w:tc>
        <w:tc>
          <w:tcPr>
            <w:tcW w:type="dxa" w:w="1872"/>
            <w:tcMar>
              <w:top w:w="80" w:type="dxa"/>
              <w:start w:w="80" w:type="dxa"/>
              <w:bottom w:w="80" w:type="dxa"/>
              <w:end w:w="80" w:type="dxa"/>
            </w:tcMar>
          </w:tcPr>
          <w:p>
            <w:pPr>
              <w:jc w:val="left"/>
            </w:pPr>
            <w:r>
              <w:rPr>
                <w:rFonts w:ascii="Arial" w:hAnsi="Arial"/>
                <w:sz w:val="20"/>
              </w:rPr>
              <w:t>80% faster processing time &amp; 100% compliance audit pass rate.</w:t>
            </w:r>
          </w:p>
        </w:tc>
      </w:tr>
    </w:tbl>
    <w:p>
      <w:pPr>
        <w:pStyle w:val="Heading2"/>
      </w:pPr>
      <w:r>
        <w:t>3. The Forward Deployed Engineering (FDE) Pod</w:t>
      </w:r>
    </w:p>
    <w:p>
      <w:pPr>
        <w:pStyle w:val="Heading3"/>
      </w:pPr>
      <w:r>
        <w:t>Industry Consensus: The Industrial Machine Paradigm &amp; Growth Engine</w:t>
      </w:r>
    </w:p>
    <w:p>
      <w:pPr>
        <w:jc w:val="left"/>
      </w:pPr>
      <w:r>
        <w:t>A clear consensus has emerged among enterprise AI leaders: off-the-shelf AI agents cannot be sold into major corporations through simple self-service portals. Large enterprises operate on fragmented legacy software, incomplete databases, and unwritten operational habits that probabilistic AI models struggle to navigate unassisted. Enterprise AI agent companies do not function like low-touch SaaS vendors; instead, they operate like precision industrial equipment manufacturers—much like ASML deploying specialized engineering teams directly inside semiconductor fabrication plants to calibrate, integrate, and maintain complex machinery.</w:t>
      </w:r>
    </w:p>
    <w:p>
      <w:pPr>
        <w:jc w:val="left"/>
      </w:pPr>
      <w:r>
        <w:t>Forward Deployed Engineering (FDE) pods serve as the primary growth engine for AI agent companies by embedding directly within customer environments to achieve rapid vertical product-market fit. FDE pods fulfill a dual strategic mandate: bridging the immediate technical gap between the agent engine and complex client IT infrastructure to close enterprise contracts, while observing live deployments to distill bespoke customer workflows into reusable vertical AI agent capabilities. Crucially, these pods are neither routine SaaS implementation teams nor IT consulting practices; they are elite AI A-teams dedicated to building durable AI agents within specific industry verticals.</w:t>
      </w:r>
    </w:p>
    <w:p>
      <w:pPr>
        <w:pStyle w:val="Heading3"/>
      </w:pPr>
      <w:r>
        <w:t>Pod Architecture: Technical Fluency Meets Business Context</w:t>
      </w:r>
    </w:p>
    <w:p>
      <w:pPr>
        <w:jc w:val="left"/>
      </w:pPr>
      <w:r>
        <w:t>Navigating corporate organizational structures, discovering informal operational workflows, and engineering resilient software loops requires a cross-functional team. FDE pods are structured around three distinct roles:</w:t>
      </w:r>
    </w:p>
    <w:p>
      <w:pPr>
        <w:jc w:val="left"/>
      </w:pPr>
      <w:r>
        <w:t>#### AI Solution Manager — The "What"</w:t>
      </w:r>
    </w:p>
    <w:p>
      <w:pPr>
        <w:pStyle w:val="Quote"/>
      </w:pPr>
      <w:r>
        <w:rPr>
          <w:b/>
          <w:i/>
        </w:rPr>
        <w:t>Profile:</w:t>
      </w:r>
      <w:r>
        <w:rPr>
          <w:i/>
        </w:rPr>
        <w:t xml:space="preserve"> A technically fluent business strategist and navigator—typically with a background in product strategy, management consulting, or enterprise operations—who aligns business objectives with AI capabilities and navigates complex client organizations.</w:t>
      </w:r>
    </w:p>
    <w:p>
      <w:pPr>
        <w:jc w:val="left"/>
      </w:pPr>
      <w:r>
        <w:t>The AI Solution Manager determines what processes to automate. As a technically fluent business strategist and navigator, this role maps informal business procedures into structured logic, identifies real-world edge cases missing from official client documentation, and secures executive alignment across business units. Notably, an emerging market trend is moving toward expecting AI Solution Managers to possess basic coding and prototyping skills—enabling them to script initial workflow logic and test API endpoints directly during client discovery.</w:t>
      </w:r>
    </w:p>
    <w:p>
      <w:pPr>
        <w:jc w:val="left"/>
      </w:pPr>
      <w:r>
        <w:t>#### Forward Deployed Engineer — The "How"</w:t>
      </w:r>
    </w:p>
    <w:p>
      <w:pPr>
        <w:pStyle w:val="Quote"/>
      </w:pPr>
      <w:r>
        <w:rPr>
          <w:b/>
          <w:i/>
        </w:rPr>
        <w:t>Profile:</w:t>
      </w:r>
      <w:r>
        <w:rPr>
          <w:i/>
        </w:rPr>
        <w:t xml:space="preserve"> A business-minded, scrappy zero-to-one engineer focused on rapid system integration, custom API bindings, context management, and live debugging in client environments.</w:t>
      </w:r>
    </w:p>
    <w:p>
      <w:pPr>
        <w:jc w:val="left"/>
      </w:pPr>
      <w:r>
        <w:t>The Forward Deployed Engineer determines how the system operates. As a business-minded, scrappy zero-to-one engineer, this role builds API connectors, writes error-handling wrappers for legacy software, implements memory management routines, and refines execution loops directly within client environments. Notably, an emerging market trend is moving toward expecting Forward Deployed Engineers to develop strong product sense—actively identifying generalizable product opportunities on-site, participating in feature design, and ensuring custom client integrations directly inform core AI agent development.</w:t>
      </w:r>
    </w:p>
    <w:p>
      <w:pPr>
        <w:jc w:val="left"/>
      </w:pPr>
      <w:r>
        <w:t>#### AI Architect — The "Why"</w:t>
      </w:r>
    </w:p>
    <w:p>
      <w:pPr>
        <w:pStyle w:val="Quote"/>
      </w:pPr>
      <w:r>
        <w:rPr>
          <w:b/>
          <w:i/>
        </w:rPr>
        <w:t>Profile:</w:t>
      </w:r>
      <w:r>
        <w:rPr>
          <w:i/>
        </w:rPr>
        <w:t xml:space="preserve"> A resourceful and pragmatic AI researcher who analyzes model reasoning, guardrail stability, supervisor alignment, and memory performance over extended execution runs.</w:t>
      </w:r>
    </w:p>
    <w:p>
      <w:pPr>
        <w:jc w:val="left"/>
      </w:pPr>
      <w:r>
        <w:t>The AI Architect diagnoses why agents drift or fail in production. As a resourceful and pragmatic AI researcher, this specialist inspects model reasoning trajectories, tunes supervisor guardrails, designs memory storage structures, and ensures operational stability over multi-day execution loops. Increasingly, an emerging organizational trend attempts to collapse the AI Architect and Forward Deployed Engineer into a single role. However, enterprise AI companies find this consolidation highly challenging in practice: the scrappy, builder-focused engineer mindset and the empirical, analytical scientist mindset (rigorously diagnosing model drift, reasoning trajectories, and probabilistic failure modes) demand fundamentally different cognitive styles and operational workflows.</w:t>
      </w:r>
    </w:p>
    <w:p>
      <w:pPr>
        <w:pStyle w:val="Heading3"/>
      </w:pPr>
      <w:r>
        <w:t>Economic Trajectory: Sequential Vertical Mastery &amp; Managing Custom Code</w:t>
      </w:r>
    </w:p>
    <w:p>
      <w:pPr>
        <w:jc w:val="left"/>
      </w:pPr>
      <w:r>
        <w:t>While FDE pods require heavy staffing during initial client onboarding, their long-term economic goal is self-elimination within a specific industry vertical through increasing AI agent capabilities. Achieving high gross margins relies on sequential vertical mastery—fully dominating one industry sector before redeploying engineers to the next.</w:t>
      </w:r>
    </w:p>
    <w:p>
      <w:pPr>
        <w:jc w:val="left"/>
      </w:pPr>
      <w:r>
        <w:t>When an FDE pod enters a new vertical, it works on-site to build a solution that achieves complete product-market fit for an anchor client. When the company deploys its product to a second client within the same industry, the core AI agent delivers approximately 80% of the required capability out-of-the-box. The FDE pod bridges the remaining 20% gap, abstracts shared workflows into reusable modules, and repeats this process until the base AI agent achieves roughly 98% sector-wide product-market fit.</w:t>
      </w:r>
    </w:p>
    <w:p>
      <w:pPr>
        <w:jc w:val="left"/>
      </w:pPr>
      <w:r>
        <w:t>In enterprise IT, roughly 10% to 15% of client integration logic—such as custom mainframe connectors or proprietary database schemas—remains permanently un-abstractable. FDE pods isolate this client-specific code inside modular Layer 2 adapters, preventing custom glue code from cluttering the central product engine. Once an industry vertical reaches maturity, the pod transfers maintenance to standard support teams and redeploys to crack an adjacent market.</w:t>
      </w:r>
    </w:p>
    <w:p>
      <w:pPr>
        <w:pStyle w:val="Heading3"/>
      </w:pPr>
      <w:r>
        <w:t>Failure Modes and Strategic Discipline: The Art of Graceful Rejection</w:t>
      </w:r>
    </w:p>
    <w:p>
      <w:pPr>
        <w:jc w:val="left"/>
      </w:pPr>
      <w:r>
        <w:t>Without strict operational boundaries, FDE pods risk falling into two destructive failure modes. In the Subsidized IT Consultancy Trap, the FDE pods degrade into a traditional IT consulting practice selling billable human hours; enterprise AI agent ventures, however, rely on deploying autonomous AI agents at high AI agent margins rather than monetizing labor arbitrage. Alternatively, in the Glorified Implementation Team Trap, senior engineering talent becomes permanently tied down by routine customer maintenance and bespoke integration work, inflating operating overhead and starving new vertical expansion of top technical talent.</w:t>
      </w:r>
    </w:p>
    <w:p>
      <w:pPr>
        <w:jc w:val="left"/>
      </w:pPr>
      <w:r>
        <w:t>Navigating these operational hazards requires executive leadership to empower FDE pods to practice graceful rejection. When an enterprise client requests an integration that is hyper-fragmented, non-scalable, or reliant on single-use code that cannot be abstracted into the core AI agent, the pod must possess the executive backing to decline the request cleanly and redirect engineering focus toward building generalizable AI agent capabilities.</w:t>
      </w:r>
    </w:p>
    <w:p>
      <w:pPr>
        <w:pStyle w:val="Heading2"/>
      </w:pPr>
      <w:r>
        <w:t>4. Agent Monetization &amp; Risk Allocation</w:t>
      </w:r>
    </w:p>
    <w:p>
      <w:pPr>
        <w:pStyle w:val="Heading3"/>
      </w:pPr>
      <w:r>
        <w:t>Consumption-Based Pricing: Tokens, Compute Units, and Hidden Margins</w:t>
      </w:r>
    </w:p>
    <w:p>
      <w:pPr>
        <w:jc w:val="left"/>
      </w:pPr>
      <w:r>
        <w:t>Consumption-based pricing remains the prevailing mainstream model across the enterprise AI market today, billing buyers either directly per million API tokens or through abstract "Agent Compute Units" (ACUs) metering execution time. Fundamentally, there is no structural difference between these two approaches: ACUs simply repackage raw token and virtual machine consumption with a hidden margin layer for the vendor. Despite its market dominance, consumption billing is increasingly recognized by corporate buyers as a flawed mainstream model that shifts all operational financial risk onto the customer. In long-running, multi-day background execution loops, enterprise customers are catching on to three major structural defects: unpredictable monthly budget volatility, severe incentive misalignment where vendor revenues inflate when agents get stuck in retry loops, and opaque value delivery where buyers pay for raw compute cycles rather than verifiably completed business outcomes.</w:t>
      </w:r>
    </w:p>
    <w:p>
      <w:pPr>
        <w:pStyle w:val="Heading3"/>
      </w:pPr>
      <w:r>
        <w:t>Outcome-Based Pricing: Benefits, Unit-Economic Risks, and Safeguards</w:t>
      </w:r>
    </w:p>
    <w:p>
      <w:pPr>
        <w:jc w:val="left"/>
      </w:pPr>
      <w:r>
        <w:t>Leading AI agent companies are shifting toward outcome-based pricing, charging customers strictly per completed result. This model shifts operational risk from buyer to vendor: the AI agent provider absorbs the cost of compute, retry loops, and context maintenance, while the customer is billed only when a task is verifiably completed—such as a resolved helpdesk ticket or a qualified sales lead. Crucially, pricing per completed output enables corporate buyers to easily benchmark agent costs against their existing internal operational metrics, streamlining procurement approval and providing a clear, defensible business case for executive leadership.</w:t>
      </w:r>
    </w:p>
    <w:p>
      <w:pPr>
        <w:pStyle w:val="Heading3"/>
      </w:pPr>
      <w:r>
        <w:t>Sovereign Managed Service Agreements for Regulated Sectors</w:t>
      </w:r>
    </w:p>
    <w:p>
      <w:pPr>
        <w:jc w:val="left"/>
      </w:pPr>
      <w:r>
        <w:t>For defense agencies, global banks, and healthcare providers, standard consumption or outcome pricing fails to satisfy strict regulatory mandates. These institutions demand absolute data sovereignty and on-premise execution—requiring local model deployments, private cloud hosting, or air-gapped network operation. Furthermore, the largest organizations view agent workflows as digital encapsulations of core trade secrets, insisting on full ownership of custom intellectual property developed for their systems. Yet, because these buyers manage large capital budgets, they remain willing to pay premium rates for long-running AI agents that resolve critical operational bottlenecks.</w:t>
      </w:r>
    </w:p>
    <w:p>
      <w:pPr>
        <w:jc w:val="left"/>
      </w:pPr>
      <w:r>
        <w:t>This dynamic creates a strategic dilemma: if an AI agent company surrenders IP ownership and hosting, it risks degrading into a IT consultancy unless it structures sovereign accounts effectively. Leading companies resolve this through multi-year Managed Service Agreements (MSAs). Under this model, an upfront deployment and IP transfer fee fairly compensates the company for initial workflow customization, while a recurring value-share and maintenance fee secures multi-year recurring revenue tied to ongoing system upgrades, model maintenance, and shared economic savings.</w:t>
      </w:r>
    </w:p>
    <w:p>
      <w:pPr>
        <w:pStyle w:val="Heading3"/>
      </w:pPr>
      <w:r>
        <w:t>Pricing and Risk Allocation Comparison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Mar>
              <w:top w:w="80" w:type="dxa"/>
              <w:start w:w="80" w:type="dxa"/>
              <w:bottom w:w="80" w:type="dxa"/>
              <w:end w:w="80" w:type="dxa"/>
            </w:tcMar>
          </w:tcPr>
          <w:p>
            <w:pPr>
              <w:jc w:val="left"/>
            </w:pPr>
            <w:r>
              <w:rPr>
                <w:rFonts w:ascii="Arial" w:hAnsi="Arial"/>
                <w:b/>
                <w:sz w:val="20"/>
              </w:rPr>
              <w:t>Pricing Model</w:t>
            </w:r>
          </w:p>
        </w:tc>
        <w:tc>
          <w:tcPr>
            <w:tcW w:type="dxa" w:w="1872"/>
            <w:tcMar>
              <w:top w:w="80" w:type="dxa"/>
              <w:start w:w="80" w:type="dxa"/>
              <w:bottom w:w="80" w:type="dxa"/>
              <w:end w:w="80" w:type="dxa"/>
            </w:tcMar>
          </w:tcPr>
          <w:p>
            <w:pPr>
              <w:jc w:val="left"/>
            </w:pPr>
            <w:r>
              <w:rPr>
                <w:rFonts w:ascii="Arial" w:hAnsi="Arial"/>
                <w:b/>
                <w:sz w:val="20"/>
              </w:rPr>
              <w:t>Billing Basis</w:t>
            </w:r>
          </w:p>
        </w:tc>
        <w:tc>
          <w:tcPr>
            <w:tcW w:type="dxa" w:w="1872"/>
            <w:tcMar>
              <w:top w:w="80" w:type="dxa"/>
              <w:start w:w="80" w:type="dxa"/>
              <w:bottom w:w="80" w:type="dxa"/>
              <w:end w:w="80" w:type="dxa"/>
            </w:tcMar>
          </w:tcPr>
          <w:p>
            <w:pPr>
              <w:jc w:val="left"/>
            </w:pPr>
            <w:r>
              <w:rPr>
                <w:rFonts w:ascii="Arial" w:hAnsi="Arial"/>
                <w:b/>
                <w:sz w:val="20"/>
              </w:rPr>
              <w:t>Risk Owner</w:t>
            </w:r>
          </w:p>
        </w:tc>
        <w:tc>
          <w:tcPr>
            <w:tcW w:type="dxa" w:w="1872"/>
            <w:tcMar>
              <w:top w:w="80" w:type="dxa"/>
              <w:start w:w="80" w:type="dxa"/>
              <w:bottom w:w="80" w:type="dxa"/>
              <w:end w:w="80" w:type="dxa"/>
            </w:tcMar>
          </w:tcPr>
          <w:p>
            <w:pPr>
              <w:jc w:val="left"/>
            </w:pPr>
            <w:r>
              <w:rPr>
                <w:rFonts w:ascii="Arial" w:hAnsi="Arial"/>
                <w:b/>
                <w:sz w:val="20"/>
              </w:rPr>
              <w:t>Customer Value Alignment</w:t>
            </w:r>
          </w:p>
        </w:tc>
        <w:tc>
          <w:tcPr>
            <w:tcW w:type="dxa" w:w="1872"/>
            <w:tcMar>
              <w:top w:w="80" w:type="dxa"/>
              <w:start w:w="80" w:type="dxa"/>
              <w:bottom w:w="80" w:type="dxa"/>
              <w:end w:w="80" w:type="dxa"/>
            </w:tcMar>
          </w:tcPr>
          <w:p>
            <w:pPr>
              <w:jc w:val="left"/>
            </w:pPr>
            <w:r>
              <w:rPr>
                <w:rFonts w:ascii="Arial" w:hAnsi="Arial"/>
                <w:b/>
                <w:sz w:val="20"/>
              </w:rPr>
              <w:t>Unit-Economic Safeguards</w:t>
            </w:r>
          </w:p>
        </w:tc>
      </w:tr>
      <w:tr>
        <w:tc>
          <w:tcPr>
            <w:tcW w:type="dxa" w:w="1872"/>
            <w:tcMar>
              <w:top w:w="80" w:type="dxa"/>
              <w:start w:w="80" w:type="dxa"/>
              <w:bottom w:w="80" w:type="dxa"/>
              <w:end w:w="80" w:type="dxa"/>
            </w:tcMar>
          </w:tcPr>
          <w:p>
            <w:pPr>
              <w:jc w:val="left"/>
            </w:pPr>
            <w:r>
              <w:rPr>
                <w:rFonts w:ascii="Arial" w:hAnsi="Arial"/>
                <w:b/>
                <w:sz w:val="20"/>
              </w:rPr>
              <w:t>Consumption (Tokens &amp; Compute Units)</w:t>
            </w:r>
          </w:p>
        </w:tc>
        <w:tc>
          <w:tcPr>
            <w:tcW w:type="dxa" w:w="1872"/>
            <w:tcMar>
              <w:top w:w="80" w:type="dxa"/>
              <w:start w:w="80" w:type="dxa"/>
              <w:bottom w:w="80" w:type="dxa"/>
              <w:end w:w="80" w:type="dxa"/>
            </w:tcMar>
          </w:tcPr>
          <w:p>
            <w:pPr>
              <w:jc w:val="left"/>
            </w:pPr>
            <w:r>
              <w:rPr>
                <w:rFonts w:ascii="Arial" w:hAnsi="Arial"/>
                <w:sz w:val="20"/>
              </w:rPr>
              <w:t>Per 1M tokens or abstract compute units (ACUs).</w:t>
            </w:r>
          </w:p>
        </w:tc>
        <w:tc>
          <w:tcPr>
            <w:tcW w:type="dxa" w:w="1872"/>
            <w:tcMar>
              <w:top w:w="80" w:type="dxa"/>
              <w:start w:w="80" w:type="dxa"/>
              <w:bottom w:w="80" w:type="dxa"/>
              <w:end w:w="80" w:type="dxa"/>
            </w:tcMar>
          </w:tcPr>
          <w:p>
            <w:pPr>
              <w:jc w:val="left"/>
            </w:pPr>
            <w:r>
              <w:rPr>
                <w:rFonts w:ascii="Arial" w:hAnsi="Arial"/>
                <w:sz w:val="20"/>
              </w:rPr>
              <w:t>Customer</w:t>
            </w:r>
          </w:p>
        </w:tc>
        <w:tc>
          <w:tcPr>
            <w:tcW w:type="dxa" w:w="1872"/>
            <w:tcMar>
              <w:top w:w="80" w:type="dxa"/>
              <w:start w:w="80" w:type="dxa"/>
              <w:bottom w:w="80" w:type="dxa"/>
              <w:end w:w="80" w:type="dxa"/>
            </w:tcMar>
          </w:tcPr>
          <w:p>
            <w:pPr>
              <w:jc w:val="left"/>
            </w:pPr>
            <w:r>
              <w:rPr>
                <w:rFonts w:ascii="Arial" w:hAnsi="Arial"/>
                <w:sz w:val="20"/>
              </w:rPr>
              <w:t>Low (Unpredictable budget volatility; ACUs add a hidden vendor margin layer over raw compute).</w:t>
            </w:r>
          </w:p>
        </w:tc>
        <w:tc>
          <w:tcPr>
            <w:tcW w:type="dxa" w:w="1872"/>
            <w:tcMar>
              <w:top w:w="80" w:type="dxa"/>
              <w:start w:w="80" w:type="dxa"/>
              <w:bottom w:w="80" w:type="dxa"/>
              <w:end w:w="80" w:type="dxa"/>
            </w:tcMar>
          </w:tcPr>
          <w:p>
            <w:pPr>
              <w:jc w:val="left"/>
            </w:pPr>
            <w:r>
              <w:rPr>
                <w:rFonts w:ascii="Arial" w:hAnsi="Arial"/>
                <w:sz w:val="20"/>
              </w:rPr>
              <w:t>None (Vendor revenues inflate during unconstrained agent retry loops).</w:t>
            </w:r>
          </w:p>
        </w:tc>
      </w:tr>
      <w:tr>
        <w:tc>
          <w:tcPr>
            <w:tcW w:type="dxa" w:w="1872"/>
            <w:tcMar>
              <w:top w:w="80" w:type="dxa"/>
              <w:start w:w="80" w:type="dxa"/>
              <w:bottom w:w="80" w:type="dxa"/>
              <w:end w:w="80" w:type="dxa"/>
            </w:tcMar>
          </w:tcPr>
          <w:p>
            <w:pPr>
              <w:jc w:val="left"/>
            </w:pPr>
            <w:r>
              <w:rPr>
                <w:rFonts w:ascii="Arial" w:hAnsi="Arial"/>
                <w:b/>
                <w:sz w:val="20"/>
              </w:rPr>
              <w:t>Outcome-Based Pricing</w:t>
            </w:r>
          </w:p>
        </w:tc>
        <w:tc>
          <w:tcPr>
            <w:tcW w:type="dxa" w:w="1872"/>
            <w:tcMar>
              <w:top w:w="80" w:type="dxa"/>
              <w:start w:w="80" w:type="dxa"/>
              <w:bottom w:w="80" w:type="dxa"/>
              <w:end w:w="80" w:type="dxa"/>
            </w:tcMar>
          </w:tcPr>
          <w:p>
            <w:pPr>
              <w:jc w:val="left"/>
            </w:pPr>
            <w:r>
              <w:rPr>
                <w:rFonts w:ascii="Arial" w:hAnsi="Arial"/>
                <w:sz w:val="20"/>
              </w:rPr>
              <w:t>Fixed fee per verifiably completed business result.</w:t>
            </w:r>
          </w:p>
        </w:tc>
        <w:tc>
          <w:tcPr>
            <w:tcW w:type="dxa" w:w="1872"/>
            <w:tcMar>
              <w:top w:w="80" w:type="dxa"/>
              <w:start w:w="80" w:type="dxa"/>
              <w:bottom w:w="80" w:type="dxa"/>
              <w:end w:w="80" w:type="dxa"/>
            </w:tcMar>
          </w:tcPr>
          <w:p>
            <w:pPr>
              <w:jc w:val="left"/>
            </w:pPr>
            <w:r>
              <w:rPr>
                <w:rFonts w:ascii="Arial" w:hAnsi="Arial"/>
                <w:sz w:val="20"/>
              </w:rPr>
              <w:t>Vendor</w:t>
            </w:r>
          </w:p>
        </w:tc>
        <w:tc>
          <w:tcPr>
            <w:tcW w:type="dxa" w:w="1872"/>
            <w:tcMar>
              <w:top w:w="80" w:type="dxa"/>
              <w:start w:w="80" w:type="dxa"/>
              <w:bottom w:w="80" w:type="dxa"/>
              <w:end w:w="80" w:type="dxa"/>
            </w:tcMar>
          </w:tcPr>
          <w:p>
            <w:pPr>
              <w:jc w:val="left"/>
            </w:pPr>
            <w:r>
              <w:rPr>
                <w:rFonts w:ascii="Arial" w:hAnsi="Arial"/>
                <w:sz w:val="20"/>
              </w:rPr>
              <w:t>High (Direct ROI matching; enables easy cost benchmarking against internal metrics to justify business case).</w:t>
            </w:r>
          </w:p>
        </w:tc>
        <w:tc>
          <w:tcPr>
            <w:tcW w:type="dxa" w:w="1872"/>
            <w:tcMar>
              <w:top w:w="80" w:type="dxa"/>
              <w:start w:w="80" w:type="dxa"/>
              <w:bottom w:w="80" w:type="dxa"/>
              <w:end w:w="80" w:type="dxa"/>
            </w:tcMar>
          </w:tcPr>
          <w:p>
            <w:pPr>
              <w:jc w:val="left"/>
            </w:pPr>
            <w:r>
              <w:rPr>
                <w:rFonts w:ascii="Arial" w:hAnsi="Arial"/>
                <w:sz w:val="20"/>
              </w:rPr>
              <w:t>Hard step caps, hybrid base fees, &amp; automated input scope boundaries.</w:t>
            </w:r>
          </w:p>
        </w:tc>
      </w:tr>
      <w:tr>
        <w:tc>
          <w:tcPr>
            <w:tcW w:type="dxa" w:w="1872"/>
            <w:tcMar>
              <w:top w:w="80" w:type="dxa"/>
              <w:start w:w="80" w:type="dxa"/>
              <w:bottom w:w="80" w:type="dxa"/>
              <w:end w:w="80" w:type="dxa"/>
            </w:tcMar>
          </w:tcPr>
          <w:p>
            <w:pPr>
              <w:jc w:val="left"/>
            </w:pPr>
            <w:r>
              <w:rPr>
                <w:rFonts w:ascii="Arial" w:hAnsi="Arial"/>
                <w:b/>
                <w:sz w:val="20"/>
              </w:rPr>
              <w:t>Sovereign Managed Services</w:t>
            </w:r>
          </w:p>
        </w:tc>
        <w:tc>
          <w:tcPr>
            <w:tcW w:type="dxa" w:w="1872"/>
            <w:tcMar>
              <w:top w:w="80" w:type="dxa"/>
              <w:start w:w="80" w:type="dxa"/>
              <w:bottom w:w="80" w:type="dxa"/>
              <w:end w:w="80" w:type="dxa"/>
            </w:tcMar>
          </w:tcPr>
          <w:p>
            <w:pPr>
              <w:jc w:val="left"/>
            </w:pPr>
            <w:r>
              <w:rPr>
                <w:rFonts w:ascii="Arial" w:hAnsi="Arial"/>
                <w:sz w:val="20"/>
              </w:rPr>
              <w:t>Multi-year MSA (upfront fee + value-share fee).</w:t>
            </w:r>
          </w:p>
        </w:tc>
        <w:tc>
          <w:tcPr>
            <w:tcW w:type="dxa" w:w="1872"/>
            <w:tcMar>
              <w:top w:w="80" w:type="dxa"/>
              <w:start w:w="80" w:type="dxa"/>
              <w:bottom w:w="80" w:type="dxa"/>
              <w:end w:w="80" w:type="dxa"/>
            </w:tcMar>
          </w:tcPr>
          <w:p>
            <w:pPr>
              <w:jc w:val="left"/>
            </w:pPr>
            <w:r>
              <w:rPr>
                <w:rFonts w:ascii="Arial" w:hAnsi="Arial"/>
                <w:sz w:val="20"/>
              </w:rPr>
              <w:t>Shared / Vendor</w:t>
            </w:r>
          </w:p>
        </w:tc>
        <w:tc>
          <w:tcPr>
            <w:tcW w:type="dxa" w:w="1872"/>
            <w:tcMar>
              <w:top w:w="80" w:type="dxa"/>
              <w:start w:w="80" w:type="dxa"/>
              <w:bottom w:w="80" w:type="dxa"/>
              <w:end w:w="80" w:type="dxa"/>
            </w:tcMar>
          </w:tcPr>
          <w:p>
            <w:pPr>
              <w:jc w:val="left"/>
            </w:pPr>
            <w:r>
              <w:rPr>
                <w:rFonts w:ascii="Arial" w:hAnsi="Arial"/>
                <w:sz w:val="20"/>
              </w:rPr>
              <w:t>High (Absolute data sovereignty, air-gapped/on-premise control, &amp; custom IP ownership for regulated institutions).</w:t>
            </w:r>
          </w:p>
        </w:tc>
        <w:tc>
          <w:tcPr>
            <w:tcW w:type="dxa" w:w="1872"/>
            <w:tcMar>
              <w:top w:w="80" w:type="dxa"/>
              <w:start w:w="80" w:type="dxa"/>
              <w:bottom w:w="80" w:type="dxa"/>
              <w:end w:w="80" w:type="dxa"/>
            </w:tcMar>
          </w:tcPr>
          <w:p>
            <w:pPr>
              <w:jc w:val="left"/>
            </w:pPr>
            <w:r>
              <w:rPr>
                <w:rFonts w:ascii="Arial" w:hAnsi="Arial"/>
                <w:sz w:val="20"/>
              </w:rPr>
              <w:t>Upfront deployment fee + recurring maintenance &amp; SLA value-share boundaries.</w:t>
            </w:r>
          </w:p>
        </w:tc>
      </w:tr>
    </w:tbl>
    <w:p>
      <w:pPr>
        <w:pStyle w:val="Heading2"/>
      </w:pPr>
      <w:r>
        <w:t>5. AI Agent Execution Blueprint</w:t>
      </w:r>
    </w:p>
    <w:p>
      <w:pPr>
        <w:pStyle w:val="Heading3"/>
      </w:pPr>
      <w:r>
        <w:t>The 3-Step Execution: From Foundation to Vertical Scale</w:t>
      </w:r>
    </w:p>
    <w:p>
      <w:pPr>
        <w:jc w:val="left"/>
      </w:pPr>
      <w:r>
        <w:t>Building a successful commercial AI agent business requires a disciplined three-phase execution sequence to manage capital burn, ensure system stability, and scale product-market fit.</w:t>
      </w:r>
    </w:p>
    <w:p>
      <w:pPr>
        <w:jc w:val="left"/>
      </w:pPr>
      <w:r>
        <w:t>First, the company bootstraps on established open-source foundations rather than expending scarce engineering resources building basic execution engines from scratch. This allows core engineers to focus on high-value proprietary capabilities: saving agent progress so tasks pause and resume cleanly without losing context, managing long-term memory to prevent information overload, and enforcing hard policy guardrails to guarantee enterprise compliance.</w:t>
      </w:r>
    </w:p>
    <w:p>
      <w:pPr>
        <w:jc w:val="left"/>
      </w:pPr>
      <w:r>
        <w:t>Second, before exposing AI agents to corporate clients, the venture battle-tests its agents internally across its own operations. The company dog-foods its products in sales development to source prospective enterprise accounts, in IT helpdesk to automate employee access provisioning, in compliance to process internal document checks, and in tail procurement to manage vendor RFQs. Internal dog-fooding surfaces state-recovery bugs, memory drift, and tool failure cascades in a low-risk environment prior to commercial launch.</w:t>
      </w:r>
    </w:p>
    <w:p>
      <w:pPr>
        <w:jc w:val="left"/>
      </w:pPr>
      <w:r>
        <w:t>Third, with a battle-tested core engine, the venture deploys multidisciplinary Forward Deployed Engineering (FDE) pods to enterprise anchor clients. Operating as frontline discovery teams, these pods embed on-site to connect the agent engine to client IT systems. By executing the progression from anchor customization to broad sector application, FDE pods systematically convert client-specific integrations into standardized AI agent capabilities.</w:t>
      </w:r>
    </w:p>
    <w:p>
      <w:pPr>
        <w:pStyle w:val="Heading3"/>
      </w:pPr>
      <w:r>
        <w:t>The 3-Layer Architectural Abstraction Framework</w:t>
      </w:r>
    </w:p>
    <w:p>
      <w:pPr>
        <w:jc w:val="left"/>
      </w:pPr>
      <w:r>
        <w:t>To protect AI agent margins and prevent the AI agent from degrading into custom IT services, AI agent architectures must enforce a strict separation between core engine capabilities, client business logic, and generalizable tool connectors.</w:t>
      </w:r>
    </w:p>
    <w:tbl>
      <w:tblPr>
        <w:tblStyle w:val="TableGrid"/>
        <w:tblW w:type="auto" w:w="0"/>
        <w:tblLook w:firstColumn="1" w:firstRow="1" w:lastColumn="0" w:lastRow="0" w:noHBand="0" w:noVBand="1" w:val="04A0"/>
      </w:tblPr>
      <w:tblGrid>
        <w:gridCol w:w="2340"/>
        <w:gridCol w:w="2340"/>
        <w:gridCol w:w="2340"/>
        <w:gridCol w:w="2340"/>
      </w:tblGrid>
      <w:tr>
        <w:tc>
          <w:tcPr>
            <w:tcW w:type="dxa" w:w="2340"/>
            <w:tcMar>
              <w:top w:w="80" w:type="dxa"/>
              <w:start w:w="80" w:type="dxa"/>
              <w:bottom w:w="80" w:type="dxa"/>
              <w:end w:w="80" w:type="dxa"/>
            </w:tcMar>
          </w:tcPr>
          <w:p>
            <w:pPr>
              <w:jc w:val="left"/>
            </w:pPr>
            <w:r>
              <w:rPr>
                <w:rFonts w:ascii="Arial" w:hAnsi="Arial"/>
                <w:b/>
                <w:sz w:val="20"/>
              </w:rPr>
              <w:t>Layer</w:t>
            </w:r>
          </w:p>
        </w:tc>
        <w:tc>
          <w:tcPr>
            <w:tcW w:type="dxa" w:w="2340"/>
            <w:tcMar>
              <w:top w:w="80" w:type="dxa"/>
              <w:start w:w="80" w:type="dxa"/>
              <w:bottom w:w="80" w:type="dxa"/>
              <w:end w:w="80" w:type="dxa"/>
            </w:tcMar>
          </w:tcPr>
          <w:p>
            <w:pPr>
              <w:jc w:val="left"/>
            </w:pPr>
            <w:r>
              <w:rPr>
                <w:rFonts w:ascii="Arial" w:hAnsi="Arial"/>
                <w:b/>
                <w:sz w:val="20"/>
              </w:rPr>
              <w:t>Architectural Layer Name</w:t>
            </w:r>
          </w:p>
        </w:tc>
        <w:tc>
          <w:tcPr>
            <w:tcW w:type="dxa" w:w="2340"/>
            <w:tcMar>
              <w:top w:w="80" w:type="dxa"/>
              <w:start w:w="80" w:type="dxa"/>
              <w:bottom w:w="80" w:type="dxa"/>
              <w:end w:w="80" w:type="dxa"/>
            </w:tcMar>
          </w:tcPr>
          <w:p>
            <w:pPr>
              <w:jc w:val="left"/>
            </w:pPr>
            <w:r>
              <w:rPr>
                <w:rFonts w:ascii="Arial" w:hAnsi="Arial"/>
                <w:b/>
                <w:sz w:val="20"/>
              </w:rPr>
              <w:t>Core Technical Components</w:t>
            </w:r>
          </w:p>
        </w:tc>
        <w:tc>
          <w:tcPr>
            <w:tcW w:type="dxa" w:w="2340"/>
            <w:tcMar>
              <w:top w:w="80" w:type="dxa"/>
              <w:start w:w="80" w:type="dxa"/>
              <w:bottom w:w="80" w:type="dxa"/>
              <w:end w:w="80" w:type="dxa"/>
            </w:tcMar>
          </w:tcPr>
          <w:p>
            <w:pPr>
              <w:jc w:val="left"/>
            </w:pPr>
            <w:r>
              <w:rPr>
                <w:rFonts w:ascii="Arial" w:hAnsi="Arial"/>
                <w:b/>
                <w:sz w:val="20"/>
              </w:rPr>
              <w:t>IP Ownership &amp; Business Model</w:t>
            </w:r>
          </w:p>
        </w:tc>
      </w:tr>
      <w:tr>
        <w:tc>
          <w:tcPr>
            <w:tcW w:type="dxa" w:w="2340"/>
            <w:tcMar>
              <w:top w:w="80" w:type="dxa"/>
              <w:start w:w="80" w:type="dxa"/>
              <w:bottom w:w="80" w:type="dxa"/>
              <w:end w:w="80" w:type="dxa"/>
            </w:tcMar>
          </w:tcPr>
          <w:p>
            <w:pPr>
              <w:jc w:val="left"/>
            </w:pPr>
            <w:r>
              <w:rPr>
                <w:rFonts w:ascii="Arial" w:hAnsi="Arial"/>
                <w:b/>
                <w:sz w:val="20"/>
              </w:rPr>
              <w:t>Layer 1</w:t>
            </w:r>
          </w:p>
        </w:tc>
        <w:tc>
          <w:tcPr>
            <w:tcW w:type="dxa" w:w="2340"/>
            <w:tcMar>
              <w:top w:w="80" w:type="dxa"/>
              <w:start w:w="80" w:type="dxa"/>
              <w:bottom w:w="80" w:type="dxa"/>
              <w:end w:w="80" w:type="dxa"/>
            </w:tcMar>
          </w:tcPr>
          <w:p>
            <w:pPr>
              <w:jc w:val="left"/>
            </w:pPr>
            <w:r>
              <w:rPr>
                <w:rFonts w:ascii="Arial" w:hAnsi="Arial"/>
                <w:b/>
                <w:sz w:val="20"/>
              </w:rPr>
              <w:t>Core Agent Engine</w:t>
            </w:r>
          </w:p>
        </w:tc>
        <w:tc>
          <w:tcPr>
            <w:tcW w:type="dxa" w:w="2340"/>
            <w:tcMar>
              <w:top w:w="80" w:type="dxa"/>
              <w:start w:w="80" w:type="dxa"/>
              <w:bottom w:w="80" w:type="dxa"/>
              <w:end w:w="80" w:type="dxa"/>
            </w:tcMar>
          </w:tcPr>
          <w:p>
            <w:pPr>
              <w:jc w:val="left"/>
            </w:pPr>
            <w:r>
              <w:rPr>
                <w:rFonts w:ascii="Arial" w:hAnsi="Arial"/>
                <w:sz w:val="20"/>
              </w:rPr>
              <w:t>Durable Execution State Serializer, Self-Correcting Reflection, Context Compaction Engine, Supervisor Audit &amp; Logging, Dynamic Model Routing (SLM/LLM), Persistent Memory R&amp;D</w:t>
            </w:r>
          </w:p>
        </w:tc>
        <w:tc>
          <w:tcPr>
            <w:tcW w:type="dxa" w:w="2340"/>
            <w:tcMar>
              <w:top w:w="80" w:type="dxa"/>
              <w:start w:w="80" w:type="dxa"/>
              <w:bottom w:w="80" w:type="dxa"/>
              <w:end w:w="80" w:type="dxa"/>
            </w:tcMar>
          </w:tcPr>
          <w:p>
            <w:pPr>
              <w:jc w:val="left"/>
            </w:pPr>
            <w:r>
              <w:rPr>
                <w:rFonts w:ascii="Arial" w:hAnsi="Arial"/>
                <w:b/>
                <w:sz w:val="20"/>
              </w:rPr>
              <w:t>100% Proprietary Venture IP</w:t>
            </w:r>
            <w:r>
              <w:rPr>
                <w:rFonts w:ascii="Arial" w:hAnsi="Arial"/>
                <w:sz w:val="20"/>
              </w:rPr>
              <w:br/>
            </w:r>
            <w:r>
              <w:rPr>
                <w:rFonts w:ascii="Arial" w:hAnsi="Arial"/>
                <w:sz w:val="20"/>
              </w:rPr>
              <w:t>(Managed by Core Product Team; core engine innovations originate in FDE pods before being battle-tested, abstracted, and transferred to core product IP)</w:t>
            </w:r>
          </w:p>
        </w:tc>
      </w:tr>
      <w:tr>
        <w:tc>
          <w:tcPr>
            <w:tcW w:type="dxa" w:w="2340"/>
            <w:tcMar>
              <w:top w:w="80" w:type="dxa"/>
              <w:start w:w="80" w:type="dxa"/>
              <w:bottom w:w="80" w:type="dxa"/>
              <w:end w:w="80" w:type="dxa"/>
            </w:tcMar>
          </w:tcPr>
          <w:p>
            <w:pPr>
              <w:jc w:val="left"/>
            </w:pPr>
            <w:r>
              <w:rPr>
                <w:rFonts w:ascii="Arial" w:hAnsi="Arial"/>
                <w:b/>
                <w:sz w:val="20"/>
              </w:rPr>
              <w:t>Layer 2</w:t>
            </w:r>
          </w:p>
        </w:tc>
        <w:tc>
          <w:tcPr>
            <w:tcW w:type="dxa" w:w="2340"/>
            <w:tcMar>
              <w:top w:w="80" w:type="dxa"/>
              <w:start w:w="80" w:type="dxa"/>
              <w:bottom w:w="80" w:type="dxa"/>
              <w:end w:w="80" w:type="dxa"/>
            </w:tcMar>
          </w:tcPr>
          <w:p>
            <w:pPr>
              <w:jc w:val="left"/>
            </w:pPr>
            <w:r>
              <w:rPr>
                <w:rFonts w:ascii="Arial" w:hAnsi="Arial"/>
                <w:b/>
                <w:sz w:val="20"/>
              </w:rPr>
              <w:t>Custom Skills &amp; Governance</w:t>
            </w:r>
          </w:p>
        </w:tc>
        <w:tc>
          <w:tcPr>
            <w:tcW w:type="dxa" w:w="2340"/>
            <w:tcMar>
              <w:top w:w="80" w:type="dxa"/>
              <w:start w:w="80" w:type="dxa"/>
              <w:bottom w:w="80" w:type="dxa"/>
              <w:end w:w="80" w:type="dxa"/>
            </w:tcMar>
          </w:tcPr>
          <w:p>
            <w:pPr>
              <w:jc w:val="left"/>
            </w:pPr>
            <w:r>
              <w:rPr>
                <w:rFonts w:ascii="Arial" w:hAnsi="Arial"/>
                <w:sz w:val="20"/>
              </w:rPr>
              <w:t>Declarative `SKILL.md` Packages, Deterministic Policy Engines, Ad-Hoc Execution Scripts &amp; Tooling, JSON Schema Validators, Custom Client Business Rules, Dedicated Evaluation Suites</w:t>
            </w:r>
          </w:p>
        </w:tc>
        <w:tc>
          <w:tcPr>
            <w:tcW w:type="dxa" w:w="2340"/>
            <w:tcMar>
              <w:top w:w="80" w:type="dxa"/>
              <w:start w:w="80" w:type="dxa"/>
              <w:bottom w:w="80" w:type="dxa"/>
              <w:end w:w="80" w:type="dxa"/>
            </w:tcMar>
          </w:tcPr>
          <w:p>
            <w:pPr>
              <w:jc w:val="left"/>
            </w:pPr>
            <w:r>
              <w:rPr>
                <w:rFonts w:ascii="Arial" w:hAnsi="Arial"/>
                <w:b/>
                <w:sz w:val="20"/>
              </w:rPr>
              <w:t>Modular IP</w:t>
            </w:r>
            <w:r>
              <w:rPr>
                <w:rFonts w:ascii="Arial" w:hAnsi="Arial"/>
                <w:sz w:val="20"/>
              </w:rPr>
              <w:br/>
            </w:r>
            <w:r>
              <w:rPr>
                <w:rFonts w:ascii="Arial" w:hAnsi="Arial"/>
                <w:sz w:val="20"/>
              </w:rPr>
              <w:t>(Venture retains sanitized skills by default; client buyout available via MSA as part of vertical growth strategy)</w:t>
            </w:r>
          </w:p>
        </w:tc>
      </w:tr>
      <w:tr>
        <w:tc>
          <w:tcPr>
            <w:tcW w:type="dxa" w:w="2340"/>
            <w:tcMar>
              <w:top w:w="80" w:type="dxa"/>
              <w:start w:w="80" w:type="dxa"/>
              <w:bottom w:w="80" w:type="dxa"/>
              <w:end w:w="80" w:type="dxa"/>
            </w:tcMar>
          </w:tcPr>
          <w:p>
            <w:pPr>
              <w:jc w:val="left"/>
            </w:pPr>
            <w:r>
              <w:rPr>
                <w:rFonts w:ascii="Arial" w:hAnsi="Arial"/>
                <w:b/>
                <w:sz w:val="20"/>
              </w:rPr>
              <w:t>Layer 3</w:t>
            </w:r>
          </w:p>
        </w:tc>
        <w:tc>
          <w:tcPr>
            <w:tcW w:type="dxa" w:w="2340"/>
            <w:tcMar>
              <w:top w:w="80" w:type="dxa"/>
              <w:start w:w="80" w:type="dxa"/>
              <w:bottom w:w="80" w:type="dxa"/>
              <w:end w:w="80" w:type="dxa"/>
            </w:tcMar>
          </w:tcPr>
          <w:p>
            <w:pPr>
              <w:jc w:val="left"/>
            </w:pPr>
            <w:r>
              <w:rPr>
                <w:rFonts w:ascii="Arial" w:hAnsi="Arial"/>
                <w:b/>
                <w:sz w:val="20"/>
              </w:rPr>
              <w:t>Generalizable Tools &amp; Action Ecosystem</w:t>
            </w:r>
          </w:p>
        </w:tc>
        <w:tc>
          <w:tcPr>
            <w:tcW w:type="dxa" w:w="2340"/>
            <w:tcMar>
              <w:top w:w="80" w:type="dxa"/>
              <w:start w:w="80" w:type="dxa"/>
              <w:bottom w:w="80" w:type="dxa"/>
              <w:end w:w="80" w:type="dxa"/>
            </w:tcMar>
          </w:tcPr>
          <w:p>
            <w:pPr>
              <w:jc w:val="left"/>
            </w:pPr>
            <w:r>
              <w:rPr>
                <w:rFonts w:ascii="Arial" w:hAnsi="Arial"/>
                <w:sz w:val="20"/>
              </w:rPr>
              <w:t>Enterprise API Wrappers (SAP, Jira, Salesforce), Headless Browser Automation Drivers, File &amp; Document Generators, Scoped Least-Privilege Tool Suites</w:t>
            </w:r>
          </w:p>
        </w:tc>
        <w:tc>
          <w:tcPr>
            <w:tcW w:type="dxa" w:w="2340"/>
            <w:tcMar>
              <w:top w:w="80" w:type="dxa"/>
              <w:start w:w="80" w:type="dxa"/>
              <w:bottom w:w="80" w:type="dxa"/>
              <w:end w:w="80" w:type="dxa"/>
            </w:tcMar>
          </w:tcPr>
          <w:p>
            <w:pPr>
              <w:jc w:val="left"/>
            </w:pPr>
            <w:r>
              <w:rPr>
                <w:rFonts w:ascii="Arial" w:hAnsi="Arial"/>
                <w:b/>
                <w:sz w:val="20"/>
              </w:rPr>
              <w:t>Shared AI Agent Registry</w:t>
            </w:r>
            <w:r>
              <w:rPr>
                <w:rFonts w:ascii="Arial" w:hAnsi="Arial"/>
                <w:sz w:val="20"/>
              </w:rPr>
              <w:br/>
            </w:r>
            <w:r>
              <w:rPr>
                <w:rFonts w:ascii="Arial" w:hAnsi="Arial"/>
                <w:sz w:val="20"/>
              </w:rPr>
              <w:t>(Accumulated across client deployments into a shared registry to drive ~98% vertical product-market fit)</w:t>
            </w:r>
          </w:p>
        </w:tc>
      </w:tr>
    </w:tbl>
    <w:p>
      <w:pPr>
        <w:jc w:val="left"/>
      </w:pPr>
      <w:r>
        <w:t>Layer 1 (Core Agent Engine): Represents 100% proprietary intellectual property that manages execution lifecycles, state durability, and system governance. Critically, Layer 1 innovations typically originate on frontline customer deployments within FDE pods—where engineering teams encounter real-world edge cases—before being battle-tested, abstracted, and transferred to the core product team to manage as permanent core product IP. This engine incorporates execution state serialization for clean pause-and-resume hibernation across system restarts, context compaction to prune stale logs and prevent memory decay over multi-day loops, dynamic routing between fast small language models and frontier LLMs to minimize compute costs, persistent multi-tiered memory stores, and deterministic supervisor audit layers to monitor reasoning drift and enforce compliance gates.</w:t>
      </w:r>
    </w:p>
    <w:p>
      <w:pPr>
        <w:jc w:val="left"/>
      </w:pPr>
      <w:r>
        <w:t>Layer 2 (Custom Skills &amp; Deterministic Governance): Separates client-specific operational rules, business logic, and domain expertise from the central engine. Built and accumulated over time as part of the vertical growth flywheel, Layer 2 pairs declarative `SKILL.md` packages (containing decision trees, contextual guidance, and helper scripts) with deterministic policy engines and schema validators. Prompts guide general reasoning, while policy engines enforce non-negotiable compliance rules, approval thresholds, and security boundaries. The venture retains ownership of all sanitized skills by default, while allowing enterprise clients to negotiate IP buyouts.</w:t>
      </w:r>
    </w:p>
    <w:p>
      <w:pPr>
        <w:jc w:val="left"/>
      </w:pPr>
      <w:r>
        <w:t>Layer 3 (Generalizable Tools &amp; Enterprise Action Ecosystem): Provides the comprehensive suite of standardized, reusable tools required for autonomous agents to take direct actions across enterprise systems. Cataloged in a shared AI agent registry for universal deployment, Layer 3 includes pre-built API connectors for core enterprise business systems (Salesforce, SAP, ServiceNow), headless browser automation drivers for legacy web applications lacking native APIs, isolated command-line sandboxes, data parsers, and document generators. AI agent architects enforce scoped, role-specific tool suites to adhere strictly to least-privilege security boundaries.</w:t>
      </w:r>
    </w:p>
    <w:p>
      <w:pPr>
        <w:pStyle w:val="Heading2"/>
      </w:pPr>
      <w:r>
        <w:t>Strategic Conclusion</w:t>
      </w:r>
    </w:p>
    <w:p>
      <w:pPr>
        <w:jc w:val="left"/>
      </w:pPr>
      <w:r>
        <w:t>Long-running autonomous agents represent the next major evolution in enterprise AI, transitioning artificial intelligence from casual conversation to sustained background task execution. Forward Deployed Engineering pods serve as the critical bridge between probabilistic language models and messy corporate IT environments. Long-term commercial success belongs to companies that avoid FDE failure modes, manage outcome-based pricing risks, and execute a decoupled three-layer AI agent architecture. By systematically converting deployment intensity into reusable AI agent IP, disciplined companies will transform custom client integrations into sector-defining autonomous AI agents.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left"/>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val="0"/>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