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28AF7" w14:textId="56A037B9" w:rsidR="00615E84" w:rsidRPr="005C60FF" w:rsidRDefault="00350A20" w:rsidP="00615E84">
      <w:pPr>
        <w:spacing w:line="276" w:lineRule="auto"/>
        <w:jc w:val="center"/>
        <w:rPr>
          <w:rFonts w:ascii="Times New Roman" w:eastAsia="宋体" w:hAnsi="Times New Roman" w:cs="Times New Roman"/>
          <w:b/>
          <w:bCs/>
          <w:sz w:val="36"/>
          <w:szCs w:val="28"/>
        </w:rPr>
      </w:pPr>
      <w:bookmarkStart w:id="0" w:name="_Hlk141573558"/>
      <w:r>
        <w:rPr>
          <w:rFonts w:ascii="Times New Roman" w:hAnsi="Times New Roman" w:cs="Times New Roman"/>
          <w:kern w:val="0"/>
          <w:sz w:val="36"/>
          <w:szCs w:val="24"/>
          <w:vertAlign w:val="superscript"/>
        </w:rPr>
        <w:t xml:space="preserve"> </w:t>
      </w:r>
      <w:r w:rsidR="00615E84" w:rsidRPr="005C60FF">
        <w:rPr>
          <w:rFonts w:ascii="Times New Roman" w:eastAsia="宋体" w:hAnsi="Times New Roman" w:cs="Times New Roman"/>
          <w:b/>
          <w:bCs/>
          <w:sz w:val="36"/>
          <w:szCs w:val="28"/>
        </w:rPr>
        <w:t>An uncertainty</w:t>
      </w:r>
      <w:r w:rsidR="008C139C">
        <w:rPr>
          <w:rFonts w:ascii="Times New Roman" w:eastAsia="宋体" w:hAnsi="Times New Roman" w:cs="Times New Roman"/>
          <w:b/>
          <w:bCs/>
          <w:sz w:val="36"/>
          <w:szCs w:val="28"/>
        </w:rPr>
        <w:t>-</w:t>
      </w:r>
      <w:r w:rsidR="00615E84" w:rsidRPr="005C60FF">
        <w:rPr>
          <w:rFonts w:ascii="Times New Roman" w:eastAsia="宋体" w:hAnsi="Times New Roman" w:cs="Times New Roman"/>
          <w:b/>
          <w:bCs/>
          <w:sz w:val="36"/>
          <w:szCs w:val="28"/>
        </w:rPr>
        <w:t>guided deep learning method facilitates rapid screening of CYP3A4 inhibitors</w:t>
      </w:r>
    </w:p>
    <w:p w14:paraId="76FA12C0" w14:textId="77777777" w:rsidR="00615E84" w:rsidRDefault="00615E84" w:rsidP="00615E84">
      <w:pPr>
        <w:spacing w:line="276" w:lineRule="auto"/>
        <w:rPr>
          <w:rFonts w:ascii="Times New Roman" w:hAnsi="Times New Roman" w:cs="Times New Roman"/>
          <w:sz w:val="24"/>
          <w:szCs w:val="28"/>
        </w:rPr>
      </w:pPr>
      <w:r w:rsidRPr="004C52D9">
        <w:rPr>
          <w:rFonts w:ascii="Times New Roman" w:hAnsi="Times New Roman" w:cs="Times New Roman"/>
          <w:sz w:val="24"/>
          <w:szCs w:val="28"/>
        </w:rPr>
        <w:t>Ruixuan Wang</w:t>
      </w:r>
      <w:r w:rsidRPr="004C52D9">
        <w:rPr>
          <w:rFonts w:ascii="Times New Roman" w:hAnsi="Times New Roman" w:cs="Times New Roman" w:hint="eastAsia"/>
          <w:sz w:val="24"/>
          <w:szCs w:val="28"/>
          <w:vertAlign w:val="superscript"/>
        </w:rPr>
        <w:t>§</w:t>
      </w:r>
      <w:r w:rsidRPr="004C52D9">
        <w:rPr>
          <w:rFonts w:ascii="Times New Roman" w:hAnsi="Times New Roman" w:cs="Times New Roman"/>
          <w:sz w:val="24"/>
          <w:szCs w:val="28"/>
        </w:rPr>
        <w:t xml:space="preserve">, </w:t>
      </w:r>
      <w:proofErr w:type="spellStart"/>
      <w:r w:rsidRPr="004C52D9">
        <w:rPr>
          <w:rFonts w:ascii="Times New Roman" w:hAnsi="Times New Roman" w:cs="Times New Roman"/>
          <w:sz w:val="24"/>
          <w:szCs w:val="28"/>
        </w:rPr>
        <w:t>Zhikang</w:t>
      </w:r>
      <w:proofErr w:type="spellEnd"/>
      <w:r w:rsidRPr="004C52D9">
        <w:rPr>
          <w:rFonts w:ascii="Times New Roman" w:hAnsi="Times New Roman" w:cs="Times New Roman"/>
          <w:sz w:val="24"/>
          <w:szCs w:val="28"/>
        </w:rPr>
        <w:t xml:space="preserve"> Liu</w:t>
      </w:r>
      <w:r w:rsidRPr="004C52D9">
        <w:rPr>
          <w:rFonts w:ascii="Times New Roman" w:hAnsi="Times New Roman" w:cs="Times New Roman" w:hint="eastAsia"/>
          <w:sz w:val="24"/>
          <w:szCs w:val="28"/>
          <w:vertAlign w:val="superscript"/>
        </w:rPr>
        <w:t>‡</w:t>
      </w:r>
      <w:r w:rsidRPr="004C52D9">
        <w:rPr>
          <w:rFonts w:ascii="Times New Roman" w:hAnsi="Times New Roman" w:cs="Times New Roman"/>
          <w:sz w:val="24"/>
          <w:szCs w:val="28"/>
        </w:rPr>
        <w:t>, Jiahao Gong</w:t>
      </w:r>
      <w:r w:rsidRPr="004C52D9">
        <w:rPr>
          <w:rFonts w:ascii="Times New Roman" w:hAnsi="Times New Roman" w:cs="Times New Roman" w:hint="eastAsia"/>
          <w:sz w:val="24"/>
          <w:szCs w:val="28"/>
          <w:vertAlign w:val="superscript"/>
        </w:rPr>
        <w:t>§</w:t>
      </w:r>
      <w:r w:rsidRPr="004C52D9">
        <w:rPr>
          <w:rFonts w:ascii="Times New Roman" w:hAnsi="Times New Roman" w:cs="Times New Roman"/>
          <w:sz w:val="24"/>
          <w:szCs w:val="28"/>
        </w:rPr>
        <w:t xml:space="preserve">, </w:t>
      </w:r>
      <w:proofErr w:type="spellStart"/>
      <w:r w:rsidRPr="004C52D9">
        <w:rPr>
          <w:rFonts w:ascii="Times New Roman" w:hAnsi="Times New Roman" w:cs="Times New Roman"/>
          <w:sz w:val="24"/>
          <w:szCs w:val="28"/>
        </w:rPr>
        <w:t>Qingping</w:t>
      </w:r>
      <w:proofErr w:type="spellEnd"/>
      <w:r w:rsidRPr="004C52D9">
        <w:rPr>
          <w:rFonts w:ascii="Times New Roman" w:hAnsi="Times New Roman" w:cs="Times New Roman"/>
          <w:sz w:val="24"/>
          <w:szCs w:val="28"/>
        </w:rPr>
        <w:t xml:space="preserve"> Zhou*</w:t>
      </w:r>
      <w:r w:rsidRPr="004C52D9">
        <w:rPr>
          <w:rFonts w:ascii="Times New Roman" w:hAnsi="Times New Roman" w:cs="Times New Roman" w:hint="eastAsia"/>
          <w:sz w:val="24"/>
          <w:szCs w:val="28"/>
          <w:vertAlign w:val="superscript"/>
        </w:rPr>
        <w:t>‡</w:t>
      </w:r>
      <w:r w:rsidRPr="004C52D9">
        <w:rPr>
          <w:rFonts w:ascii="Times New Roman" w:hAnsi="Times New Roman" w:cs="Times New Roman"/>
          <w:sz w:val="24"/>
          <w:szCs w:val="28"/>
        </w:rPr>
        <w:t>, Xiaoqing Guan*</w:t>
      </w:r>
      <w:r w:rsidRPr="004C52D9">
        <w:rPr>
          <w:rFonts w:ascii="Times New Roman" w:hAnsi="Times New Roman" w:cs="Times New Roman" w:hint="eastAsia"/>
          <w:sz w:val="24"/>
          <w:szCs w:val="28"/>
          <w:vertAlign w:val="superscript"/>
        </w:rPr>
        <w:t>§</w:t>
      </w:r>
      <w:r w:rsidRPr="004C52D9">
        <w:rPr>
          <w:rFonts w:ascii="Times New Roman" w:hAnsi="Times New Roman" w:cs="Times New Roman"/>
          <w:sz w:val="24"/>
          <w:szCs w:val="28"/>
        </w:rPr>
        <w:t xml:space="preserve">, </w:t>
      </w:r>
      <w:proofErr w:type="spellStart"/>
      <w:r w:rsidRPr="004C52D9">
        <w:rPr>
          <w:rFonts w:ascii="Times New Roman" w:hAnsi="Times New Roman" w:cs="Times New Roman"/>
          <w:sz w:val="24"/>
          <w:szCs w:val="28"/>
        </w:rPr>
        <w:t>Guangbo</w:t>
      </w:r>
      <w:proofErr w:type="spellEnd"/>
      <w:r w:rsidRPr="004C52D9">
        <w:rPr>
          <w:rFonts w:ascii="Times New Roman" w:hAnsi="Times New Roman" w:cs="Times New Roman"/>
          <w:sz w:val="24"/>
          <w:szCs w:val="28"/>
        </w:rPr>
        <w:t xml:space="preserve"> Ge*</w:t>
      </w:r>
      <w:r w:rsidRPr="004C52D9">
        <w:rPr>
          <w:rFonts w:ascii="Times New Roman" w:hAnsi="Times New Roman" w:cs="Times New Roman" w:hint="eastAsia"/>
          <w:sz w:val="24"/>
          <w:szCs w:val="28"/>
          <w:vertAlign w:val="superscript"/>
        </w:rPr>
        <w:t>§</w:t>
      </w:r>
      <w:r w:rsidRPr="004C52D9">
        <w:rPr>
          <w:rFonts w:ascii="Times New Roman" w:hAnsi="Times New Roman" w:cs="Times New Roman"/>
          <w:sz w:val="24"/>
          <w:szCs w:val="28"/>
        </w:rPr>
        <w:t>.</w:t>
      </w:r>
    </w:p>
    <w:p w14:paraId="59F6AAC7" w14:textId="77777777" w:rsidR="003F7533" w:rsidRPr="004C52D9" w:rsidRDefault="003F7533" w:rsidP="00615E84">
      <w:pPr>
        <w:spacing w:line="276" w:lineRule="auto"/>
        <w:rPr>
          <w:rFonts w:ascii="Times New Roman" w:hAnsi="Times New Roman" w:cs="Times New Roman"/>
          <w:sz w:val="24"/>
          <w:szCs w:val="28"/>
        </w:rPr>
      </w:pPr>
    </w:p>
    <w:p w14:paraId="72AE34AD" w14:textId="77777777" w:rsidR="00615E84" w:rsidRPr="004C52D9" w:rsidRDefault="00615E84" w:rsidP="00615E84">
      <w:pPr>
        <w:spacing w:line="276" w:lineRule="auto"/>
        <w:rPr>
          <w:rFonts w:ascii="Times New Roman" w:hAnsi="Times New Roman" w:cs="Times New Roman"/>
          <w:sz w:val="24"/>
          <w:szCs w:val="28"/>
        </w:rPr>
      </w:pPr>
      <w:r w:rsidRPr="004C52D9">
        <w:rPr>
          <w:rFonts w:ascii="Times New Roman" w:hAnsi="Times New Roman" w:cs="Times New Roman" w:hint="eastAsia"/>
          <w:sz w:val="24"/>
          <w:szCs w:val="28"/>
          <w:vertAlign w:val="superscript"/>
        </w:rPr>
        <w:t>§</w:t>
      </w:r>
      <w:r w:rsidRPr="004C52D9">
        <w:rPr>
          <w:rFonts w:ascii="Times New Roman" w:hAnsi="Times New Roman" w:cs="Times New Roman"/>
          <w:sz w:val="24"/>
          <w:szCs w:val="28"/>
        </w:rPr>
        <w:t>Shanghai Frontiers Science Center of TCM Chemical Biology, Institute of Interdisciplinary Integrative Medicine Research, Shanghai University of Traditional Chinese Medicine, Shanghai 201203, China.</w:t>
      </w:r>
    </w:p>
    <w:p w14:paraId="2027C477" w14:textId="77777777" w:rsidR="00615E84" w:rsidRDefault="00615E84" w:rsidP="00615E84">
      <w:pPr>
        <w:spacing w:line="276" w:lineRule="auto"/>
        <w:rPr>
          <w:rFonts w:ascii="Times New Roman" w:hAnsi="Times New Roman" w:cs="Times New Roman"/>
          <w:sz w:val="24"/>
          <w:szCs w:val="28"/>
        </w:rPr>
      </w:pPr>
      <w:r w:rsidRPr="004C52D9">
        <w:rPr>
          <w:rFonts w:ascii="Times New Roman" w:hAnsi="Times New Roman" w:cs="Times New Roman" w:hint="eastAsia"/>
          <w:b/>
          <w:bCs/>
          <w:sz w:val="24"/>
          <w:szCs w:val="28"/>
          <w:vertAlign w:val="superscript"/>
        </w:rPr>
        <w:t>‡</w:t>
      </w:r>
      <w:r w:rsidRPr="004C52D9">
        <w:rPr>
          <w:rFonts w:ascii="Times New Roman" w:hAnsi="Times New Roman" w:cs="Times New Roman"/>
          <w:sz w:val="24"/>
          <w:szCs w:val="28"/>
        </w:rPr>
        <w:t>Central South University, School of Mathematics and Statistics, Changsha 410083, China.</w:t>
      </w:r>
    </w:p>
    <w:p w14:paraId="0A89C8AA" w14:textId="77777777" w:rsidR="003F7533" w:rsidRPr="004C52D9" w:rsidRDefault="003F7533" w:rsidP="00615E84">
      <w:pPr>
        <w:spacing w:line="276" w:lineRule="auto"/>
        <w:rPr>
          <w:rFonts w:ascii="Times New Roman" w:hAnsi="Times New Roman" w:cs="Times New Roman"/>
          <w:sz w:val="24"/>
          <w:szCs w:val="28"/>
        </w:rPr>
      </w:pPr>
    </w:p>
    <w:p w14:paraId="30A8C733" w14:textId="1A7F2DCB" w:rsidR="00615E84" w:rsidRDefault="003F7533" w:rsidP="00615E84">
      <w:pPr>
        <w:spacing w:line="276" w:lineRule="auto"/>
        <w:rPr>
          <w:rFonts w:ascii="Times New Roman" w:hAnsi="Times New Roman" w:cs="Times New Roman"/>
          <w:sz w:val="24"/>
          <w:szCs w:val="28"/>
        </w:rPr>
      </w:pPr>
      <w:r w:rsidRPr="003F7533">
        <w:rPr>
          <w:rFonts w:ascii="Times New Roman" w:hAnsi="Times New Roman" w:cs="Times New Roman" w:hint="eastAsia"/>
          <w:sz w:val="24"/>
          <w:szCs w:val="28"/>
        </w:rPr>
        <w:t>K</w:t>
      </w:r>
      <w:r w:rsidRPr="003F7533">
        <w:rPr>
          <w:rFonts w:ascii="Times New Roman" w:hAnsi="Times New Roman" w:cs="Times New Roman"/>
          <w:sz w:val="24"/>
          <w:szCs w:val="28"/>
        </w:rPr>
        <w:t>EY WORDS:</w:t>
      </w:r>
      <w:r>
        <w:rPr>
          <w:rFonts w:ascii="Times New Roman" w:hAnsi="Times New Roman" w:cs="Times New Roman"/>
          <w:b/>
          <w:bCs/>
          <w:sz w:val="24"/>
          <w:szCs w:val="28"/>
        </w:rPr>
        <w:t xml:space="preserve"> </w:t>
      </w:r>
      <w:r w:rsidRPr="003F7533">
        <w:rPr>
          <w:rFonts w:ascii="Times New Roman" w:hAnsi="Times New Roman" w:cs="Times New Roman"/>
          <w:sz w:val="24"/>
          <w:szCs w:val="28"/>
        </w:rPr>
        <w:t xml:space="preserve">CYP3A4, </w:t>
      </w:r>
      <w:r>
        <w:rPr>
          <w:rFonts w:ascii="Times New Roman" w:hAnsi="Times New Roman" w:cs="Times New Roman"/>
          <w:sz w:val="24"/>
          <w:szCs w:val="28"/>
        </w:rPr>
        <w:t>regression model</w:t>
      </w:r>
      <w:r w:rsidRPr="003F7533">
        <w:rPr>
          <w:rFonts w:ascii="Times New Roman" w:hAnsi="Times New Roman" w:cs="Times New Roman"/>
          <w:sz w:val="24"/>
          <w:szCs w:val="28"/>
        </w:rPr>
        <w:t>, uncertainty, virtual screening</w:t>
      </w:r>
    </w:p>
    <w:p w14:paraId="570FAC80" w14:textId="77777777" w:rsidR="00AD179F" w:rsidRPr="004C52D9" w:rsidRDefault="00AD179F" w:rsidP="00615E84">
      <w:pPr>
        <w:spacing w:line="276" w:lineRule="auto"/>
        <w:rPr>
          <w:rFonts w:ascii="Times New Roman" w:hAnsi="Times New Roman" w:cs="Times New Roman"/>
          <w:b/>
          <w:bCs/>
          <w:sz w:val="24"/>
          <w:szCs w:val="28"/>
        </w:rPr>
      </w:pPr>
    </w:p>
    <w:p w14:paraId="3917F760" w14:textId="03D50C11" w:rsidR="00662D79" w:rsidRPr="004C52D9" w:rsidRDefault="00662D79" w:rsidP="00662D79">
      <w:pPr>
        <w:spacing w:beforeLines="50" w:before="156" w:afterLines="50" w:after="156"/>
        <w:rPr>
          <w:rFonts w:ascii="Times New Roman" w:hAnsi="Times New Roman" w:cs="Times New Roman"/>
          <w:b/>
          <w:bCs/>
          <w:sz w:val="36"/>
          <w:szCs w:val="40"/>
        </w:rPr>
      </w:pPr>
      <w:r w:rsidRPr="004C52D9">
        <w:rPr>
          <w:rFonts w:ascii="Times New Roman" w:hAnsi="Times New Roman" w:cs="Times New Roman"/>
          <w:b/>
          <w:bCs/>
          <w:sz w:val="36"/>
          <w:szCs w:val="40"/>
        </w:rPr>
        <w:t>ABSTRACT</w:t>
      </w:r>
    </w:p>
    <w:p w14:paraId="6FD12F85" w14:textId="3888093E" w:rsidR="00615E84" w:rsidRDefault="007B68C3" w:rsidP="00FB2641">
      <w:pPr>
        <w:spacing w:line="276" w:lineRule="auto"/>
        <w:ind w:firstLineChars="100" w:firstLine="240"/>
        <w:rPr>
          <w:rFonts w:ascii="Times New Roman" w:hAnsi="Times New Roman" w:cs="Times New Roman"/>
          <w:sz w:val="24"/>
          <w:szCs w:val="28"/>
        </w:rPr>
      </w:pPr>
      <w:r w:rsidRPr="004C52D9">
        <w:rPr>
          <w:rFonts w:ascii="Times New Roman" w:hAnsi="Times New Roman" w:cs="Times New Roman"/>
          <w:sz w:val="24"/>
          <w:szCs w:val="28"/>
        </w:rPr>
        <w:t xml:space="preserve">Cytochrome P450 3A4 (CYP3A4), a prominent member of the P450 enzyme superfamily, plays a crucial role in metabolizing various xenobiotics, including over 50% of clinically significant drugs. Evaluating CYP3A4 inhibition before drug approval is essential to avoid </w:t>
      </w:r>
      <w:r>
        <w:rPr>
          <w:rFonts w:ascii="Times New Roman" w:hAnsi="Times New Roman" w:cs="Times New Roman"/>
          <w:sz w:val="24"/>
          <w:szCs w:val="28"/>
        </w:rPr>
        <w:t>potentially</w:t>
      </w:r>
      <w:r w:rsidRPr="004C52D9">
        <w:rPr>
          <w:rFonts w:ascii="Times New Roman" w:hAnsi="Times New Roman" w:cs="Times New Roman"/>
          <w:sz w:val="24"/>
          <w:szCs w:val="28"/>
        </w:rPr>
        <w:t xml:space="preserve"> harmful pharmacokinetic drug-drug interactions (DDIs) and adverse drug reactions (ADRs). </w:t>
      </w:r>
      <w:r>
        <w:rPr>
          <w:rFonts w:ascii="Times New Roman" w:hAnsi="Times New Roman" w:cs="Times New Roman"/>
          <w:sz w:val="24"/>
          <w:szCs w:val="28"/>
        </w:rPr>
        <w:t>Despite the development of several CYP inhibitor prediction models, the primary approach for screening CYP inhibitors still rely on experimental methods. This might stem from</w:t>
      </w:r>
      <w:r w:rsidRPr="00AD4128">
        <w:rPr>
          <w:rFonts w:ascii="Times New Roman" w:hAnsi="Times New Roman" w:cs="Times New Roman"/>
          <w:sz w:val="24"/>
          <w:szCs w:val="28"/>
        </w:rPr>
        <w:t xml:space="preserve"> the limitation</w:t>
      </w:r>
      <w:r>
        <w:rPr>
          <w:rFonts w:ascii="Times New Roman" w:hAnsi="Times New Roman" w:cs="Times New Roman"/>
          <w:sz w:val="24"/>
          <w:szCs w:val="28"/>
        </w:rPr>
        <w:t>s</w:t>
      </w:r>
      <w:r w:rsidRPr="00AD4128">
        <w:rPr>
          <w:rFonts w:ascii="Times New Roman" w:hAnsi="Times New Roman" w:cs="Times New Roman"/>
          <w:sz w:val="24"/>
          <w:szCs w:val="28"/>
        </w:rPr>
        <w:t xml:space="preserve"> of </w:t>
      </w:r>
      <w:r>
        <w:rPr>
          <w:rFonts w:ascii="Times New Roman" w:hAnsi="Times New Roman" w:cs="Times New Roman"/>
          <w:sz w:val="24"/>
          <w:szCs w:val="28"/>
        </w:rPr>
        <w:t xml:space="preserve">existing models, which only provide deterministic classification outcomes instead of precise inhibition intensity (e.g., </w:t>
      </w:r>
      <w:r w:rsidRPr="004C52D9">
        <w:rPr>
          <w:rFonts w:ascii="Times New Roman" w:hAnsi="Times New Roman" w:cs="Times New Roman"/>
          <w:sz w:val="24"/>
          <w:szCs w:val="28"/>
        </w:rPr>
        <w:t>IC</w:t>
      </w:r>
      <w:r w:rsidRPr="004C52D9">
        <w:rPr>
          <w:rFonts w:ascii="Times New Roman" w:hAnsi="Times New Roman" w:cs="Times New Roman"/>
          <w:sz w:val="24"/>
          <w:szCs w:val="28"/>
          <w:vertAlign w:val="subscript"/>
        </w:rPr>
        <w:t>50</w:t>
      </w:r>
      <w:r>
        <w:rPr>
          <w:rFonts w:ascii="Times New Roman" w:hAnsi="Times New Roman" w:cs="Times New Roman"/>
          <w:sz w:val="24"/>
          <w:szCs w:val="28"/>
        </w:rPr>
        <w:t xml:space="preserve">), and often suffer from </w:t>
      </w:r>
      <w:r w:rsidRPr="00CC1A39">
        <w:rPr>
          <w:rFonts w:ascii="Times New Roman" w:hAnsi="Times New Roman" w:cs="Times New Roman"/>
          <w:sz w:val="24"/>
          <w:szCs w:val="28"/>
        </w:rPr>
        <w:t>inadequate prediction reliability</w:t>
      </w:r>
      <w:r>
        <w:rPr>
          <w:rFonts w:ascii="Times New Roman" w:hAnsi="Times New Roman" w:cs="Times New Roman"/>
          <w:sz w:val="24"/>
          <w:szCs w:val="28"/>
        </w:rPr>
        <w:t xml:space="preserve">. To address this challenge, we propose an uncertainty-guided regression model to accurately predict </w:t>
      </w:r>
      <w:r w:rsidRPr="004C52D9">
        <w:rPr>
          <w:rFonts w:ascii="Times New Roman" w:hAnsi="Times New Roman" w:cs="Times New Roman"/>
          <w:sz w:val="24"/>
          <w:szCs w:val="28"/>
        </w:rPr>
        <w:t>IC</w:t>
      </w:r>
      <w:r w:rsidRPr="004C52D9">
        <w:rPr>
          <w:rFonts w:ascii="Times New Roman" w:hAnsi="Times New Roman" w:cs="Times New Roman"/>
          <w:sz w:val="24"/>
          <w:szCs w:val="28"/>
          <w:vertAlign w:val="subscript"/>
        </w:rPr>
        <w:t>50</w:t>
      </w:r>
      <w:r>
        <w:rPr>
          <w:rFonts w:ascii="Times New Roman" w:hAnsi="Times New Roman" w:cs="Times New Roman"/>
          <w:sz w:val="24"/>
          <w:szCs w:val="28"/>
        </w:rPr>
        <w:t xml:space="preserve"> values of </w:t>
      </w:r>
      <w:r w:rsidRPr="00CF00C7">
        <w:rPr>
          <w:rFonts w:ascii="Times New Roman" w:hAnsi="Times New Roman" w:cs="Times New Roman"/>
          <w:sz w:val="24"/>
          <w:szCs w:val="28"/>
        </w:rPr>
        <w:t>anti-CYP3A4 activities</w:t>
      </w:r>
      <w:r>
        <w:rPr>
          <w:rFonts w:ascii="Times New Roman" w:hAnsi="Times New Roman" w:cs="Times New Roman"/>
          <w:sz w:val="24"/>
          <w:szCs w:val="28"/>
        </w:rPr>
        <w:t xml:space="preserve">. </w:t>
      </w:r>
      <w:r w:rsidRPr="004C52D9">
        <w:rPr>
          <w:rFonts w:ascii="Times New Roman" w:hAnsi="Times New Roman" w:cs="Times New Roman"/>
          <w:sz w:val="24"/>
          <w:szCs w:val="28"/>
        </w:rPr>
        <w:t>First, a comprehensive dataset of CYP3A4 inhibitors was compiled, consisting of 27,045 compounds with classification labels</w:t>
      </w:r>
      <w:r>
        <w:rPr>
          <w:rFonts w:ascii="Times New Roman" w:hAnsi="Times New Roman" w:cs="Times New Roman"/>
          <w:sz w:val="24"/>
          <w:szCs w:val="28"/>
        </w:rPr>
        <w:t>,</w:t>
      </w:r>
      <w:r w:rsidRPr="004C52D9">
        <w:rPr>
          <w:rFonts w:ascii="Times New Roman" w:hAnsi="Times New Roman" w:cs="Times New Roman"/>
          <w:sz w:val="24"/>
          <w:szCs w:val="28"/>
        </w:rPr>
        <w:t xml:space="preserve"> </w:t>
      </w:r>
      <w:r>
        <w:rPr>
          <w:rFonts w:ascii="Times New Roman" w:hAnsi="Times New Roman" w:cs="Times New Roman"/>
          <w:sz w:val="24"/>
          <w:szCs w:val="28"/>
        </w:rPr>
        <w:t xml:space="preserve">including </w:t>
      </w:r>
      <w:r w:rsidRPr="004C52D9">
        <w:rPr>
          <w:rFonts w:ascii="Times New Roman" w:hAnsi="Times New Roman" w:cs="Times New Roman"/>
          <w:sz w:val="24"/>
          <w:szCs w:val="28"/>
        </w:rPr>
        <w:t>4,395 compounds with explicit IC</w:t>
      </w:r>
      <w:r w:rsidRPr="004C52D9">
        <w:rPr>
          <w:rFonts w:ascii="Times New Roman" w:hAnsi="Times New Roman" w:cs="Times New Roman"/>
          <w:sz w:val="24"/>
          <w:szCs w:val="28"/>
          <w:vertAlign w:val="subscript"/>
        </w:rPr>
        <w:t>50</w:t>
      </w:r>
      <w:r w:rsidRPr="004C52D9">
        <w:rPr>
          <w:rFonts w:ascii="Times New Roman" w:hAnsi="Times New Roman" w:cs="Times New Roman"/>
          <w:sz w:val="24"/>
          <w:szCs w:val="28"/>
        </w:rPr>
        <w:t xml:space="preserve"> values.</w:t>
      </w:r>
      <w:r>
        <w:rPr>
          <w:rFonts w:ascii="Times New Roman" w:hAnsi="Times New Roman" w:cs="Times New Roman"/>
          <w:sz w:val="24"/>
          <w:szCs w:val="28"/>
        </w:rPr>
        <w:t xml:space="preserve"> Second, </w:t>
      </w:r>
      <w:r w:rsidRPr="00CF00C7">
        <w:rPr>
          <w:rFonts w:ascii="Times New Roman" w:hAnsi="Times New Roman" w:cs="Times New Roman"/>
          <w:sz w:val="24"/>
          <w:szCs w:val="28"/>
        </w:rPr>
        <w:t>by</w:t>
      </w:r>
      <w:r>
        <w:rPr>
          <w:rFonts w:ascii="Times New Roman" w:hAnsi="Times New Roman" w:cs="Times New Roman"/>
          <w:sz w:val="24"/>
          <w:szCs w:val="28"/>
        </w:rPr>
        <w:t xml:space="preserve"> integrating the predictions of the classification model trained on a larger dataset and introducing an </w:t>
      </w:r>
      <w:r w:rsidRPr="001E27BA">
        <w:rPr>
          <w:rFonts w:ascii="Times New Roman" w:hAnsi="Times New Roman" w:cs="Times New Roman"/>
          <w:sz w:val="24"/>
          <w:szCs w:val="28"/>
        </w:rPr>
        <w:t>evidential uncertainty method</w:t>
      </w:r>
      <w:r>
        <w:rPr>
          <w:rFonts w:ascii="Times New Roman" w:hAnsi="Times New Roman" w:cs="Times New Roman"/>
          <w:sz w:val="24"/>
          <w:szCs w:val="28"/>
        </w:rPr>
        <w:t xml:space="preserve"> to rank </w:t>
      </w:r>
      <w:r w:rsidRPr="00B12023">
        <w:rPr>
          <w:rFonts w:ascii="Times New Roman" w:hAnsi="Times New Roman" w:cs="Times New Roman"/>
          <w:sz w:val="24"/>
          <w:szCs w:val="24"/>
        </w:rPr>
        <w:t>prediction</w:t>
      </w:r>
      <w:r>
        <w:rPr>
          <w:rFonts w:ascii="Times New Roman" w:hAnsi="Times New Roman" w:cs="Times New Roman"/>
          <w:sz w:val="24"/>
          <w:szCs w:val="24"/>
        </w:rPr>
        <w:t xml:space="preserve"> </w:t>
      </w:r>
      <w:r w:rsidRPr="00B12023">
        <w:rPr>
          <w:rFonts w:ascii="Times New Roman" w:hAnsi="Times New Roman" w:cs="Times New Roman"/>
          <w:sz w:val="24"/>
          <w:szCs w:val="24"/>
        </w:rPr>
        <w:t>confidence</w:t>
      </w:r>
      <w:r>
        <w:rPr>
          <w:rFonts w:ascii="Times New Roman" w:hAnsi="Times New Roman" w:cs="Times New Roman"/>
          <w:sz w:val="24"/>
          <w:szCs w:val="28"/>
        </w:rPr>
        <w:t xml:space="preserve">, we obtained a </w:t>
      </w:r>
      <w:r w:rsidRPr="00CF00C7">
        <w:rPr>
          <w:rFonts w:ascii="Times New Roman" w:hAnsi="Times New Roman" w:cs="Times New Roman"/>
          <w:sz w:val="24"/>
          <w:szCs w:val="28"/>
        </w:rPr>
        <w:t xml:space="preserve">high-precision </w:t>
      </w:r>
      <w:r>
        <w:rPr>
          <w:rFonts w:ascii="Times New Roman" w:hAnsi="Times New Roman" w:cs="Times New Roman"/>
          <w:sz w:val="24"/>
          <w:szCs w:val="28"/>
        </w:rPr>
        <w:t xml:space="preserve">and reliable </w:t>
      </w:r>
      <w:r w:rsidRPr="00CF00C7">
        <w:rPr>
          <w:rFonts w:ascii="Times New Roman" w:hAnsi="Times New Roman" w:cs="Times New Roman"/>
          <w:sz w:val="24"/>
          <w:szCs w:val="28"/>
        </w:rPr>
        <w:t>regression model</w:t>
      </w:r>
      <w:r>
        <w:rPr>
          <w:rFonts w:ascii="Times New Roman" w:hAnsi="Times New Roman" w:cs="Times New Roman"/>
          <w:sz w:val="24"/>
          <w:szCs w:val="28"/>
        </w:rPr>
        <w:t xml:space="preserve">. </w:t>
      </w:r>
      <w:r w:rsidRPr="004C52D9">
        <w:rPr>
          <w:rFonts w:ascii="Times New Roman" w:hAnsi="Times New Roman" w:cs="Times New Roman"/>
          <w:sz w:val="24"/>
          <w:szCs w:val="28"/>
        </w:rPr>
        <w:t xml:space="preserve">Finally, </w:t>
      </w:r>
      <w:r>
        <w:rPr>
          <w:rFonts w:ascii="Times New Roman" w:hAnsi="Times New Roman" w:cs="Times New Roman"/>
          <w:sz w:val="24"/>
          <w:szCs w:val="28"/>
        </w:rPr>
        <w:t xml:space="preserve">we use </w:t>
      </w:r>
      <w:r w:rsidRPr="00E32E19">
        <w:rPr>
          <w:rFonts w:ascii="Times New Roman" w:hAnsi="Times New Roman" w:cs="Times New Roman"/>
          <w:sz w:val="24"/>
          <w:szCs w:val="28"/>
        </w:rPr>
        <w:t xml:space="preserve">the </w:t>
      </w:r>
      <w:r w:rsidRPr="004C52D9">
        <w:rPr>
          <w:rFonts w:ascii="Times New Roman" w:hAnsi="Times New Roman" w:cs="Times New Roman"/>
          <w:sz w:val="24"/>
          <w:szCs w:val="28"/>
        </w:rPr>
        <w:t>evidential uncertaint</w:t>
      </w:r>
      <w:r>
        <w:rPr>
          <w:rFonts w:ascii="Times New Roman" w:hAnsi="Times New Roman" w:cs="Times New Roman"/>
          <w:sz w:val="24"/>
          <w:szCs w:val="28"/>
        </w:rPr>
        <w:t xml:space="preserve">y values as a trustworthy indicator to perform </w:t>
      </w:r>
      <w:r w:rsidRPr="004C52D9">
        <w:rPr>
          <w:rFonts w:ascii="Times New Roman" w:hAnsi="Times New Roman" w:cs="Times New Roman"/>
          <w:sz w:val="24"/>
          <w:szCs w:val="28"/>
        </w:rPr>
        <w:t>virtual</w:t>
      </w:r>
      <w:r w:rsidRPr="00764EA2">
        <w:rPr>
          <w:rFonts w:ascii="Times New Roman" w:hAnsi="Times New Roman" w:cs="Times New Roman"/>
          <w:sz w:val="24"/>
          <w:szCs w:val="28"/>
        </w:rPr>
        <w:t xml:space="preserve"> </w:t>
      </w:r>
      <w:r w:rsidRPr="00E32E19">
        <w:rPr>
          <w:rFonts w:ascii="Times New Roman" w:hAnsi="Times New Roman" w:cs="Times New Roman"/>
          <w:sz w:val="24"/>
          <w:szCs w:val="28"/>
        </w:rPr>
        <w:t>screening</w:t>
      </w:r>
      <w:r w:rsidRPr="00764EA2">
        <w:rPr>
          <w:rStyle w:val="af"/>
        </w:rPr>
        <w:t xml:space="preserve"> </w:t>
      </w:r>
      <w:r w:rsidRPr="004C52D9">
        <w:rPr>
          <w:rFonts w:ascii="Times New Roman" w:hAnsi="Times New Roman" w:cs="Times New Roman"/>
          <w:sz w:val="24"/>
          <w:szCs w:val="28"/>
        </w:rPr>
        <w:t>of an in-house compound set</w:t>
      </w:r>
      <w:r>
        <w:rPr>
          <w:rFonts w:ascii="Times New Roman" w:hAnsi="Times New Roman" w:cs="Times New Roman" w:hint="eastAsia"/>
          <w:sz w:val="24"/>
          <w:szCs w:val="28"/>
        </w:rPr>
        <w:t>.</w:t>
      </w:r>
      <w:r>
        <w:rPr>
          <w:rFonts w:ascii="Times New Roman" w:hAnsi="Times New Roman" w:cs="Times New Roman"/>
          <w:sz w:val="24"/>
          <w:szCs w:val="28"/>
        </w:rPr>
        <w:t xml:space="preserve"> </w:t>
      </w:r>
      <w:r w:rsidRPr="001E27BA">
        <w:rPr>
          <w:rFonts w:ascii="Times New Roman" w:hAnsi="Times New Roman" w:cs="Times New Roman"/>
          <w:sz w:val="24"/>
          <w:szCs w:val="28"/>
        </w:rPr>
        <w:t xml:space="preserve">The </w:t>
      </w:r>
      <w:r w:rsidRPr="004C52D9">
        <w:rPr>
          <w:rFonts w:ascii="Times New Roman" w:hAnsi="Times New Roman" w:cs="Times New Roman"/>
          <w:i/>
          <w:iCs/>
          <w:sz w:val="24"/>
          <w:szCs w:val="28"/>
        </w:rPr>
        <w:t>in vitro</w:t>
      </w:r>
      <w:r w:rsidRPr="004C52D9">
        <w:rPr>
          <w:rFonts w:ascii="Times New Roman" w:hAnsi="Times New Roman" w:cs="Times New Roman"/>
          <w:sz w:val="24"/>
          <w:szCs w:val="28"/>
        </w:rPr>
        <w:t xml:space="preserve"> experiments</w:t>
      </w:r>
      <w:r w:rsidRPr="001E27BA">
        <w:rPr>
          <w:rFonts w:ascii="Times New Roman" w:hAnsi="Times New Roman" w:cs="Times New Roman"/>
          <w:sz w:val="24"/>
          <w:szCs w:val="28"/>
        </w:rPr>
        <w:t xml:space="preserve"> results revealed that this new indicator significantly improved the hit ratio and </w:t>
      </w:r>
      <w:r>
        <w:rPr>
          <w:rFonts w:ascii="Times New Roman" w:hAnsi="Times New Roman" w:cs="Times New Roman"/>
          <w:sz w:val="24"/>
          <w:szCs w:val="28"/>
        </w:rPr>
        <w:t xml:space="preserve">reduced </w:t>
      </w:r>
      <w:r w:rsidRPr="001E27BA">
        <w:rPr>
          <w:rFonts w:ascii="Times New Roman" w:hAnsi="Times New Roman" w:cs="Times New Roman"/>
          <w:sz w:val="24"/>
          <w:szCs w:val="28"/>
        </w:rPr>
        <w:t xml:space="preserve">false positives among the top-ranked compounds. </w:t>
      </w:r>
      <w:r>
        <w:rPr>
          <w:rFonts w:ascii="Times New Roman" w:hAnsi="Times New Roman" w:cs="Times New Roman"/>
          <w:sz w:val="24"/>
          <w:szCs w:val="28"/>
        </w:rPr>
        <w:t>Specifically, a</w:t>
      </w:r>
      <w:r w:rsidRPr="001E27BA">
        <w:rPr>
          <w:rFonts w:ascii="Times New Roman" w:hAnsi="Times New Roman" w:cs="Times New Roman"/>
          <w:sz w:val="24"/>
          <w:szCs w:val="28"/>
        </w:rPr>
        <w:t xml:space="preserve">mong the top 20 compounds ranked with uncertainty, 15 compounds were identified as novel CYP3A4 </w:t>
      </w:r>
      <w:r w:rsidRPr="001E27BA">
        <w:rPr>
          <w:rFonts w:ascii="Times New Roman" w:hAnsi="Times New Roman" w:cs="Times New Roman"/>
          <w:sz w:val="24"/>
          <w:szCs w:val="28"/>
        </w:rPr>
        <w:lastRenderedPageBreak/>
        <w:t xml:space="preserve">inhibitors, </w:t>
      </w:r>
      <w:r>
        <w:rPr>
          <w:rFonts w:ascii="Times New Roman" w:hAnsi="Times New Roman" w:cs="Times New Roman"/>
          <w:sz w:val="24"/>
          <w:szCs w:val="28"/>
        </w:rPr>
        <w:t>and</w:t>
      </w:r>
      <w:r w:rsidRPr="001E27BA">
        <w:rPr>
          <w:rFonts w:ascii="Times New Roman" w:hAnsi="Times New Roman" w:cs="Times New Roman"/>
          <w:sz w:val="24"/>
          <w:szCs w:val="28"/>
        </w:rPr>
        <w:t xml:space="preserve"> three </w:t>
      </w:r>
      <w:r>
        <w:rPr>
          <w:rFonts w:ascii="Times New Roman" w:hAnsi="Times New Roman" w:cs="Times New Roman"/>
          <w:sz w:val="24"/>
          <w:szCs w:val="28"/>
        </w:rPr>
        <w:t xml:space="preserve">of </w:t>
      </w:r>
      <w:r w:rsidR="00165DE9">
        <w:rPr>
          <w:rFonts w:ascii="Times New Roman" w:hAnsi="Times New Roman" w:cs="Times New Roman" w:hint="eastAsia"/>
          <w:sz w:val="24"/>
          <w:szCs w:val="28"/>
        </w:rPr>
        <w:t>them</w:t>
      </w:r>
      <w:r w:rsidRPr="001E27BA">
        <w:rPr>
          <w:rFonts w:ascii="Times New Roman" w:hAnsi="Times New Roman" w:cs="Times New Roman"/>
          <w:sz w:val="24"/>
          <w:szCs w:val="28"/>
        </w:rPr>
        <w:t xml:space="preserve"> exhibited </w:t>
      </w:r>
      <w:r w:rsidR="00BF5556" w:rsidRPr="00BF5556">
        <w:rPr>
          <w:rFonts w:ascii="Times New Roman" w:hAnsi="Times New Roman" w:cs="Times New Roman"/>
          <w:sz w:val="24"/>
          <w:szCs w:val="28"/>
        </w:rPr>
        <w:t xml:space="preserve">activities less than 1 </w:t>
      </w:r>
      <w:proofErr w:type="spellStart"/>
      <w:r w:rsidR="00BF5556" w:rsidRPr="00BF5556">
        <w:rPr>
          <w:rFonts w:ascii="Times New Roman" w:hAnsi="Times New Roman" w:cs="Times New Roman"/>
          <w:sz w:val="24"/>
          <w:szCs w:val="28"/>
        </w:rPr>
        <w:t>μM</w:t>
      </w:r>
      <w:proofErr w:type="spellEnd"/>
      <w:r w:rsidRPr="001E27BA">
        <w:rPr>
          <w:rFonts w:ascii="Times New Roman" w:hAnsi="Times New Roman" w:cs="Times New Roman"/>
          <w:sz w:val="24"/>
          <w:szCs w:val="28"/>
        </w:rPr>
        <w:t>.</w:t>
      </w:r>
      <w:r>
        <w:rPr>
          <w:rFonts w:ascii="Times New Roman" w:hAnsi="Times New Roman" w:cs="Times New Roman"/>
          <w:sz w:val="24"/>
          <w:szCs w:val="28"/>
        </w:rPr>
        <w:t xml:space="preserve"> </w:t>
      </w:r>
      <w:r w:rsidRPr="001E27BA">
        <w:rPr>
          <w:rFonts w:ascii="Times New Roman" w:hAnsi="Times New Roman" w:cs="Times New Roman"/>
          <w:sz w:val="24"/>
          <w:szCs w:val="28"/>
        </w:rPr>
        <w:t xml:space="preserve">In summary, our findings highlight the effectiveness of </w:t>
      </w:r>
      <w:r>
        <w:rPr>
          <w:rFonts w:ascii="Times New Roman" w:hAnsi="Times New Roman" w:cs="Times New Roman"/>
          <w:sz w:val="24"/>
          <w:szCs w:val="28"/>
        </w:rPr>
        <w:t xml:space="preserve">incorporating </w:t>
      </w:r>
      <w:r w:rsidRPr="001E27BA">
        <w:rPr>
          <w:rFonts w:ascii="Times New Roman" w:hAnsi="Times New Roman" w:cs="Times New Roman"/>
          <w:sz w:val="24"/>
          <w:szCs w:val="28"/>
        </w:rPr>
        <w:t xml:space="preserve">uncertainty in compound screening, providing a </w:t>
      </w:r>
      <w:r>
        <w:rPr>
          <w:rFonts w:ascii="Times New Roman" w:hAnsi="Times New Roman" w:cs="Times New Roman"/>
          <w:sz w:val="24"/>
          <w:szCs w:val="28"/>
        </w:rPr>
        <w:t>promising</w:t>
      </w:r>
      <w:r w:rsidRPr="001E27BA">
        <w:rPr>
          <w:rFonts w:ascii="Times New Roman" w:hAnsi="Times New Roman" w:cs="Times New Roman"/>
          <w:sz w:val="24"/>
          <w:szCs w:val="28"/>
        </w:rPr>
        <w:t xml:space="preserve"> strategy for drug discovery and development.</w:t>
      </w:r>
    </w:p>
    <w:p w14:paraId="5737696B" w14:textId="20F54334" w:rsidR="00676ADE" w:rsidRDefault="00BB228A" w:rsidP="00A63B80">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0CD0D239" wp14:editId="38C355C1">
            <wp:extent cx="5715000" cy="3102616"/>
            <wp:effectExtent l="0" t="0" r="0" b="2540"/>
            <wp:docPr id="381933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240" cy="3109261"/>
                    </a:xfrm>
                    <a:prstGeom prst="rect">
                      <a:avLst/>
                    </a:prstGeom>
                    <a:noFill/>
                  </pic:spPr>
                </pic:pic>
              </a:graphicData>
            </a:graphic>
          </wp:inline>
        </w:drawing>
      </w:r>
    </w:p>
    <w:p w14:paraId="7C1FF7AE" w14:textId="18D14D61" w:rsidR="00676ADE" w:rsidRDefault="00676ADE" w:rsidP="00676ADE">
      <w:pPr>
        <w:widowControl/>
        <w:rPr>
          <w:rFonts w:ascii="Times New Roman" w:hAnsi="Times New Roman" w:cs="Times New Roman"/>
          <w:b/>
          <w:bCs/>
        </w:rPr>
      </w:pPr>
      <w:r>
        <w:rPr>
          <w:rFonts w:ascii="Times New Roman" w:hAnsi="Times New Roman" w:cs="Times New Roman"/>
          <w:b/>
          <w:bCs/>
        </w:rPr>
        <w:br w:type="page"/>
      </w:r>
    </w:p>
    <w:p w14:paraId="21141E66" w14:textId="56799813" w:rsidR="00662D79" w:rsidRPr="004C52D9" w:rsidRDefault="00662D79" w:rsidP="00662D79">
      <w:pPr>
        <w:pStyle w:val="1"/>
        <w:spacing w:beforeLines="50" w:before="156" w:afterLines="50" w:after="156" w:line="240" w:lineRule="auto"/>
        <w:rPr>
          <w:rFonts w:ascii="Times New Roman" w:eastAsia="楷体" w:hAnsi="Times New Roman" w:cs="Times New Roman"/>
          <w:sz w:val="36"/>
          <w:szCs w:val="36"/>
        </w:rPr>
      </w:pPr>
      <w:r w:rsidRPr="004C52D9">
        <w:rPr>
          <w:rFonts w:ascii="Times New Roman" w:eastAsia="楷体" w:hAnsi="Times New Roman" w:cs="Times New Roman"/>
          <w:sz w:val="36"/>
          <w:szCs w:val="36"/>
        </w:rPr>
        <w:lastRenderedPageBreak/>
        <w:t>1. INTRODUCTION</w:t>
      </w:r>
    </w:p>
    <w:p w14:paraId="241A2B8D" w14:textId="7F6E3F6D" w:rsidR="00615E84" w:rsidRPr="004C52D9" w:rsidRDefault="00615E84" w:rsidP="005C60FF">
      <w:pPr>
        <w:pStyle w:val="ab"/>
        <w:widowControl/>
        <w:autoSpaceDE w:val="0"/>
        <w:spacing w:beforeLines="50" w:before="156" w:beforeAutospacing="0" w:afterLines="50" w:after="156" w:afterAutospacing="0" w:line="276" w:lineRule="auto"/>
        <w:ind w:firstLineChars="100" w:firstLine="240"/>
        <w:jc w:val="both"/>
        <w:rPr>
          <w:rFonts w:ascii="Times New Roman" w:hAnsi="Times New Roman"/>
          <w:kern w:val="2"/>
          <w:szCs w:val="24"/>
        </w:rPr>
      </w:pPr>
      <w:r w:rsidRPr="00EC7E39">
        <w:rPr>
          <w:rFonts w:ascii="Times New Roman" w:hAnsi="Times New Roman"/>
          <w:kern w:val="2"/>
          <w:szCs w:val="24"/>
        </w:rPr>
        <w:t>The mammalian cytochrome P450 (CYP) superfamily is an important class of heme-containing enzymes, which play crucial roles in oxidative metabolism of a wide range of endogenous substances and xenobiotics. In humans, a total of 57 CYP isoforms have been identified, which have been classified into 44 subfamilies based on their amino acid identities.</w:t>
      </w:r>
      <w:r w:rsidR="00652CD6" w:rsidRPr="00EC7E39">
        <w:rPr>
          <w:rFonts w:ascii="Times New Roman" w:hAnsi="Times New Roman"/>
          <w:kern w:val="2"/>
          <w:szCs w:val="24"/>
        </w:rPr>
        <w:fldChar w:fldCharType="begin"/>
      </w:r>
      <w:r w:rsidR="00B74398" w:rsidRPr="00EC7E39">
        <w:rPr>
          <w:rFonts w:ascii="Times New Roman" w:hAnsi="Times New Roman"/>
          <w:kern w:val="2"/>
          <w:szCs w:val="24"/>
        </w:rPr>
        <w:instrText xml:space="preserve"> ADDIN ZOTERO_ITEM CSL_CITATION {"citationID":"E8XK2TAy","properties":{"formattedCitation":"\\super 1,2\\nosupersub{}","plainCitation":"1,2","noteIndex":0},"citationItems":[{"id":2319,"uris":["http://zotero.org/users/9157699/items/VPNXP856"],"itemData":{"id":2319,"type":"article-journal","abstract":"Human cytochrome P450 (CYP) enzymes, as membrane-bound hemoproteins, play important roles in the detoxification of drugs, cellular metabolism, and homeostasis. In humans, almost 80% of oxidative metabolism and approximately 50% of the overall elimination of common clinical drugs can be attributed to one or more of the various CYPs, from the CYP families 1-3. In addition to the basic metabolic effects for elimination, CYPs are also capable of affecting drug responses by influencing drug action, safety, bioavailability, and drug resistance through metabolism, in both metabolic organs and local sites of action. Structures of CYPs have recently provided new insights into both understanding the mechanisms of drug metabolism and exploiting CYPs as drug targets. Genetic polymorphisms and epigenetic changes in CYP genes and environmental factors may be responsible for interethnic and interindividual variations in the therapeutic efficacy of drugs. In this review, we summarize and highlight the structural knowledge about CYPs and the major CYPs in drug metabolism. Additionally, genetic and epigenetic factors, as well as several intrinsic and extrinsic factors that contribute to interindividual variation in drug response are also reviewed, to reveal the multifarious and important roles of CYP-mediated metabolism and elimination in drug therapy.","container-title":"International Journal of Molecular Sciences","DOI":"10.3390/ijms222312808","ISSN":"1422-0067","issue":"23","journalAbbreviation":"Int J Mol Sci","language":"eng","note":"PMID: 34884615\nPMCID: PMC8657965","page":"12808","source":"PubMed","title":"Cytochrome P450 Enzymes and Drug Metabolism in Humans","volume":"22","author":[{"family":"Zhao","given":"Mingzhe"},{"family":"Ma","given":"Jingsong"},{"family":"Li","given":"Mo"},{"family":"Zhang","given":"Yingtian"},{"family":"Jiang","given":"Bixuan"},{"family":"Zhao","given":"Xianglong"},{"family":"Huai","given":"Cong"},{"family":"Shen","given":"Lu"},{"family":"Zhang","given":"Na"},{"family":"He","given":"Lin"},{"family":"Qin","given":"Shengying"}],"issued":{"date-parts":[["2021",11,26]]}}},{"id":2322,"uris":["http://zotero.org/users/9157699/items/B4GF95VW"],"itemData":{"id":2322,"type":"article-journal","abstract":"Genetic polymorphisms in drug-metabolizing enzymes, transporters, receptors, and other drug targets have been linked to interindividual differences in the efficacy and toxicity of many medications. Pharmacogenomic studies are rapidly elucidating the inherited nature of these differences in drug disposition and effects, thereby enhancing drug discovery and providing a stronger scientific basis for optimizing drug therapy on the basis of each patient's genetic constitution.","container-title":"Science (New York, N.Y.)","DOI":"10.1126/science.286.5439.487","ISSN":"0036-8075","issue":"5439","journalAbbreviation":"Science","language":"eng","note":"PMID: 10521338","page":"487-491","source":"PubMed","title":"Pharmacogenomics: translating functional genomics into rational therapeutics","title-short":"Pharmacogenomics","volume":"286","author":[{"family":"Evans","given":"W. E."},{"family":"Relling","given":"M. V."}],"issued":{"date-parts":[["1999",10,15]]}}}],"schema":"https://github.com/citation-style-language/schema/raw/master/csl-citation.json"} </w:instrText>
      </w:r>
      <w:r w:rsidR="00652CD6" w:rsidRPr="00EC7E39">
        <w:rPr>
          <w:rFonts w:ascii="Times New Roman" w:hAnsi="Times New Roman"/>
          <w:kern w:val="2"/>
          <w:szCs w:val="24"/>
        </w:rPr>
        <w:fldChar w:fldCharType="separate"/>
      </w:r>
      <w:r w:rsidR="002C548A" w:rsidRPr="002C548A">
        <w:rPr>
          <w:rFonts w:ascii="Times New Roman" w:hAnsi="Times New Roman"/>
          <w:szCs w:val="24"/>
          <w:vertAlign w:val="superscript"/>
        </w:rPr>
        <w:t>1,2</w:t>
      </w:r>
      <w:r w:rsidR="00652CD6" w:rsidRPr="00EC7E39">
        <w:rPr>
          <w:rFonts w:ascii="Times New Roman" w:hAnsi="Times New Roman"/>
          <w:kern w:val="2"/>
          <w:szCs w:val="24"/>
        </w:rPr>
        <w:fldChar w:fldCharType="end"/>
      </w:r>
      <w:r w:rsidRPr="00EC7E39">
        <w:rPr>
          <w:rFonts w:ascii="Times New Roman" w:hAnsi="Times New Roman"/>
          <w:kern w:val="2"/>
          <w:szCs w:val="24"/>
        </w:rPr>
        <w:t xml:space="preserve"> Among all identified human CYP isoforms, CYP3A4 has been recognized as one of the most important CYP enzymes, owing to its high abundance in metabolic organs and the extremely broad substrate spectra.</w:t>
      </w:r>
      <w:r w:rsidR="00274E7D" w:rsidRPr="00EC7E39">
        <w:rPr>
          <w:rFonts w:ascii="Times New Roman" w:hAnsi="Times New Roman"/>
          <w:kern w:val="2"/>
          <w:szCs w:val="24"/>
        </w:rPr>
        <w:fldChar w:fldCharType="begin"/>
      </w:r>
      <w:r w:rsidR="00274E7D" w:rsidRPr="00EC7E39">
        <w:rPr>
          <w:rFonts w:ascii="Times New Roman" w:hAnsi="Times New Roman"/>
          <w:kern w:val="2"/>
          <w:szCs w:val="24"/>
        </w:rPr>
        <w:instrText xml:space="preserve"> ADDIN ZOTERO_ITEM CSL_CITATION {"citationID":"Kbr3DNkv","properties":{"formattedCitation":"\\super 3\\nosupersub{}","plainCitation":"3","noteIndex":0},"citationItems":[{"id":2324,"uris":["http://zotero.org/users/9157699/items/U5MRHGHK"],"itemData":{"id":2324,"type":"article-journal","abstract":"The cytochrome P450 (P450) enzymes are the major catalysts involved in the metabolism of drugs. bioavailability and toxicity are 2 of the most common barriers in drug development today, and P450 and the conjugation enzymes can influence these effects. The toxicity of drugs can be considered in 5 contexts: on-target toxicity, hypersensitivity and immunological reactions, off-target pharmacology, bioactivation to reactive intermediates, and idiosyncratic drug reactions. the chemistry of bioactivation is reasonably well understood, but the mechanisms underlying biological responses are not. In the article we consider what fraction of drug toxicity actually involves metabolism, and we examine how species and human interindividual variations affect pharmacokinetics and toxicity.","container-title":"The AAPS Journal","DOI":"10.1208/aapsj080112","ISSN":"1550-7416","issue":"1","journalAbbreviation":"AAPS J","note":"PMID: 16584116\nPMCID: PMC2751428","page":"E101-E111","source":"PubMed Central","title":"Cytochrome P450s and other enzymes in drug metabolism and toxicity","volume":"8","author":[{"family":"Guengerich","given":"F. Peter"}],"issued":{"date-parts":[["2006",3]]}}}],"schema":"https://github.com/citation-style-language/schema/raw/master/csl-citation.json"} </w:instrText>
      </w:r>
      <w:r w:rsidR="00274E7D" w:rsidRPr="00EC7E39">
        <w:rPr>
          <w:rFonts w:ascii="Times New Roman" w:hAnsi="Times New Roman"/>
          <w:kern w:val="2"/>
          <w:szCs w:val="24"/>
        </w:rPr>
        <w:fldChar w:fldCharType="separate"/>
      </w:r>
      <w:r w:rsidR="002C548A" w:rsidRPr="002C548A">
        <w:rPr>
          <w:rFonts w:ascii="Times New Roman" w:hAnsi="Times New Roman"/>
          <w:szCs w:val="24"/>
          <w:vertAlign w:val="superscript"/>
        </w:rPr>
        <w:t>3</w:t>
      </w:r>
      <w:r w:rsidR="00274E7D" w:rsidRPr="00EC7E39">
        <w:rPr>
          <w:rFonts w:ascii="Times New Roman" w:hAnsi="Times New Roman"/>
          <w:kern w:val="2"/>
          <w:szCs w:val="24"/>
        </w:rPr>
        <w:fldChar w:fldCharType="end"/>
      </w:r>
      <w:r w:rsidRPr="00EC7E39">
        <w:rPr>
          <w:rFonts w:ascii="Times New Roman" w:hAnsi="Times New Roman"/>
          <w:kern w:val="2"/>
          <w:szCs w:val="24"/>
        </w:rPr>
        <w:t xml:space="preserve"> As a key contributor </w:t>
      </w:r>
      <w:r w:rsidR="00981F62">
        <w:rPr>
          <w:rFonts w:ascii="Times New Roman" w:hAnsi="Times New Roman"/>
          <w:kern w:val="2"/>
          <w:szCs w:val="24"/>
        </w:rPr>
        <w:t>to</w:t>
      </w:r>
      <w:r w:rsidRPr="00EC7E39">
        <w:rPr>
          <w:rFonts w:ascii="Times New Roman" w:hAnsi="Times New Roman"/>
          <w:kern w:val="2"/>
          <w:szCs w:val="24"/>
        </w:rPr>
        <w:t xml:space="preserve"> xenobiotic metabolism, CYP3A4 catalyzes the oxidative metabolism of numerous toxicological or pharmacological agents including carcinogens, environmental pollutants, food chemicals, phytochemicals and marketed drugs.</w:t>
      </w:r>
      <w:r w:rsidR="00274E7D" w:rsidRPr="00EC7E39">
        <w:rPr>
          <w:rFonts w:ascii="Times New Roman" w:hAnsi="Times New Roman"/>
          <w:kern w:val="2"/>
          <w:szCs w:val="24"/>
        </w:rPr>
        <w:fldChar w:fldCharType="begin"/>
      </w:r>
      <w:r w:rsidR="002C4E15" w:rsidRPr="00EC7E39">
        <w:rPr>
          <w:rFonts w:ascii="Times New Roman" w:hAnsi="Times New Roman"/>
          <w:kern w:val="2"/>
          <w:szCs w:val="24"/>
        </w:rPr>
        <w:instrText xml:space="preserve"> ADDIN ZOTERO_ITEM CSL_CITATION {"citationID":"BCEPxoGN","properties":{"formattedCitation":"\\super 3\\uc0\\u8211{}6\\nosupersub{}","plainCitation":"3–6","noteIndex":0},"citationItems":[{"id":2324,"uris":["http://zotero.org/users/9157699/items/U5MRHGHK"],"itemData":{"id":2324,"type":"article-journal","abstract":"The cytochrome P450 (P450) enzymes are the major catalysts involved in the metabolism of drugs. bioavailability and toxicity are 2 of the most common barriers in drug development today, and P450 and the conjugation enzymes can influence these effects. The toxicity of drugs can be considered in 5 contexts: on-target toxicity, hypersensitivity and immunological reactions, off-target pharmacology, bioactivation to reactive intermediates, and idiosyncratic drug reactions. the chemistry of bioactivation is reasonably well understood, but the mechanisms underlying biological responses are not. In the article we consider what fraction of drug toxicity actually involves metabolism, and we examine how species and human interindividual variations affect pharmacokinetics and toxicity.","container-title":"The AAPS Journal","DOI":"10.1208/aapsj080112","ISSN":"1550-7416","issue":"1","journalAbbreviation":"AAPS J","note":"PMID: 16584116\nPMCID: PMC2751428","page":"E101-E111","source":"PubMed Central","title":"Cytochrome P450s and other enzymes in drug metabolism and toxicity","volume":"8","author":[{"family":"Guengerich","given":"F. Peter"}],"issued":{"date-parts":[["2006",3]]}}},{"id":2327,"uris":["http://zotero.org/users/9157699/items/HNF6QD32"],"itemData":{"id":2327,"type":"article-journal","container-title":"Chemical Research in Toxicology","DOI":"10.1021/tx00022a001","ISSN":"0893-228X, 1520-5010","issue":"4","journalAbbreviation":"Chem. Res. Toxicol.","language":"en","page":"391-407","source":"DOI.org (Crossref)","title":"Oxidation of toxic and carcinogenic chemicals by human cytochrome P-450 enzymes","volume":"4","author":[{"family":"Guengerich","given":"F. Peter"},{"family":"Shimada","given":"Tsutomu"}],"issued":{"date-parts":[["1991",7]]}}},{"id":2329,"uris":["http://zotero.org/users/9157699/items/YXJFFEED"],"itemData":{"id":2329,"type":"article-journal","abstract":"The human cytochrome P450 enzymes (P450s) catalyze oxidative reactions of a broad spectrum of substrates and play a critical role in the metabolism of xenobiotics, such as drugs and dietary compounds. CYP3A4 is known to be the main enzyme involved in the metabolism of drugs and most other xenobiotics. Dietary compounds, of which polyphenolics are the most studied, have been shown to interact with CYP3A4 and alter its expression and activity. Traditionally, the liver was considered the prime site of CYP3A-mediated first-pass metabolic extraction, but in vitro and in vivo studies now suggest that the small intestine can be of equal or even greater importance for the metabolism of polyphenolics and drugs. Recent studies have pointed to the role of gut microbiota in the metabolic fate of polyphenolics in human, suggesting their involvement in the complex interactions between dietary polyphenols and CYP3A4. Last but not least, all the above suggests that coadministration of drugs and foods that are rich in polyphenols is expected to stimulate undesirable clinical consequences. This review focuses on interactions between dietary polyphenols and CYP3A4 as they relate to structural considerations, food-drug interactions, and potential negative consequences of interactions between CYP3A4 and polyphenols.","container-title":"Oxidative Medicine and Cellular Longevity","DOI":"10.1155/2015/854015","ISSN":"1942-0900","language":"en","note":"publisher: Hindawi","page":"e854015","source":"www.hindawi.com","title":"Interactions between CYP3A4 and Dietary Polyphenols","volume":"2015","author":[{"family":"Basheer","given":"Loai"},{"family":"Kerem","given":"Zohar"}],"issued":{"date-parts":[["2015",6,9]]}}},{"id":2331,"uris":["http://zotero.org/users/9157699/items/T2DJ7ILD"],"itemData":{"id":2331,"type":"article-journal","abstract":"Quercetin, a flavonoid, is an inhibitor of P-glycoprotein-mediated efflux transport, and its oxidative metabolism is catalyzed by CYP enzymes. Thus, it is expected that the pharmacokinetics of both intravenous and oral doxorubicin can be changed by quercetin. The purpose of this study was to investigate the effect of oral quercetin on the bioavailability and pharmacokinetics of orally and intravenously administered doxorubicin in rats. The effects of quercetin on the P-glycoprotein (P-gp) and CYP3A4 activities were also evaluated. Quercetin inhibited CYP3A4 enzyme activity in a concentration-dependent manner with a 50% inhibition concentration (IC50) of 1.97 μM. In addition, quercetin significantly enhanced the intracellular accumulation of rhodamine-123 in MCF-7/ADR cells overexpressing P-gp. The pharmacokinetic parameters of doxorubicin were determined in rats after oral (50 mg/kg) or intravenous (10 mg/kg) administration of doxorubicin to rats in the presence and absence of quercetin (0.6, 3 or 15 mg/kg). Compared to control, quercetin significantly (p &lt; 0.05 for 0.6 mg/kg, p &lt; 0.01 for 3 and 15 mg/kg) increased the area under the plasma concentration-time curve (AUC0−</w:instrText>
      </w:r>
      <w:r w:rsidR="002C4E15" w:rsidRPr="00EC7E39">
        <w:rPr>
          <w:rFonts w:ascii="Times New Roman" w:hAnsi="Times New Roman" w:hint="eastAsia"/>
          <w:kern w:val="2"/>
          <w:szCs w:val="24"/>
        </w:rPr>
        <w:instrText>∞</w:instrText>
      </w:r>
      <w:r w:rsidR="002C4E15" w:rsidRPr="00EC7E39">
        <w:rPr>
          <w:rFonts w:ascii="Times New Roman" w:hAnsi="Times New Roman"/>
          <w:kern w:val="2"/>
          <w:szCs w:val="24"/>
        </w:rPr>
        <w:instrText xml:space="preserve">, 31.2-136.0% greater) of oral doxorubicin. Quercetin also significantly increased the peak plasma concentration (Cmax) of doxorubicin, while there was no significant change in Tmax and T1/2 of doxorubicin. Consequently, the absolute bioavailability of doxorubicin was increased by quercetin compared to control, and the relative bioavailability of oral doxorubicin was increased by 1.32 to 2.36 fold. In contrast, the pharmacokinetics of intravenous doxorubicin were not affected by quercetin. These results suggest that the quercetin-induced increase in bioavailability of oral doxorubicin can be attributed to enhanced doxorubicin absorption in the gastrointestinal tract via quercetin-induced inhibition of P-gp and reduced first-pass metabolism of doxorubicin due to quercetin-induced inhibition of CYP3A in the small intestine and/or in the liver rather than reduced renal and/or hepatic elimination of doxorubicin. Therefore, it appears that the development of oral doxorubicin preparations is possible, which will be more convenient than the intravenous dosage forms. Therefore, concurrent use of quercetin provides a therapeutic benefit — it increases the bioavailability of doxorubicin administered orally.","container-title":"Archives of Pharmacal Research","DOI":"10.1007/s12272-011-0411-x","ISSN":"1976-3786","issue":"4","journalAbbreviation":"Arch. Pharm. Res.","language":"en","page":"607-613","source":"Springer Link","title":"Effects of quercetin on the bioavailability of doxorubicin in rats: Role of CYP3A4 and P-gp inhibition by quercetin","title-short":"Effects of quercetin on the bioavailability of doxorubicin in rats","volume":"34","author":[{"family":"Choi","given":"Jun-Shik"},{"family":"Piao","given":"Yong-Ji"},{"family":"Kang","given":"Keon Wook"}],"issued":{"date-parts":[["2011",4,1]]}}}],"schema":"https://github.com/citation-style-language/schema/raw/master/csl-citation.json"} </w:instrText>
      </w:r>
      <w:r w:rsidR="00274E7D" w:rsidRPr="00EC7E39">
        <w:rPr>
          <w:rFonts w:ascii="Times New Roman" w:hAnsi="Times New Roman"/>
          <w:kern w:val="2"/>
          <w:szCs w:val="24"/>
        </w:rPr>
        <w:fldChar w:fldCharType="separate"/>
      </w:r>
      <w:r w:rsidR="002C548A" w:rsidRPr="002C548A">
        <w:rPr>
          <w:rFonts w:ascii="Times New Roman" w:hAnsi="Times New Roman"/>
          <w:szCs w:val="24"/>
          <w:vertAlign w:val="superscript"/>
        </w:rPr>
        <w:t>3–6</w:t>
      </w:r>
      <w:r w:rsidR="00274E7D" w:rsidRPr="00EC7E39">
        <w:rPr>
          <w:rFonts w:ascii="Times New Roman" w:hAnsi="Times New Roman"/>
          <w:kern w:val="2"/>
          <w:szCs w:val="24"/>
        </w:rPr>
        <w:fldChar w:fldCharType="end"/>
      </w:r>
      <w:r w:rsidRPr="00EC7E39">
        <w:rPr>
          <w:rFonts w:ascii="Times New Roman" w:hAnsi="Times New Roman"/>
          <w:kern w:val="2"/>
          <w:szCs w:val="24"/>
        </w:rPr>
        <w:t xml:space="preserve"> Dysfunction or strong inhibition of CYP3A4 may affect the metabolic clearance of CYP3A4 substrate drugs, which may cause pharmacokinetic drug-drug interactions (DDIs) and result in adverse drug reactions (ADRs).</w:t>
      </w:r>
      <w:r w:rsidR="00EC7E39" w:rsidRPr="00EC7E39">
        <w:rPr>
          <w:rFonts w:ascii="Times New Roman" w:hAnsi="Times New Roman"/>
          <w:kern w:val="2"/>
          <w:szCs w:val="24"/>
        </w:rPr>
        <w:fldChar w:fldCharType="begin"/>
      </w:r>
      <w:r w:rsidR="00C539A1">
        <w:rPr>
          <w:rFonts w:ascii="Times New Roman" w:hAnsi="Times New Roman"/>
          <w:kern w:val="2"/>
          <w:szCs w:val="24"/>
        </w:rPr>
        <w:instrText xml:space="preserve"> ADDIN ZOTERO_ITEM CSL_CITATION {"citationID":"ZNuU3dGn","properties":{"formattedCitation":"\\super 7\\nosupersub{}","plainCitation":"7","noteIndex":0},"citationItems":[{"id":906,"uris":["http://zotero.org/users/9157699/items/PJW35V9L"],"itemData":{"id":906,"type":"article-journal","abstract":"In an ageing society, polypharmacy has become a major public health and economic issue. Overuse of medications, especially in patients with chronic diseases, carries major health risks. One common consequence of polypharmacy is the increased emergence of adverse drug events, mainly from drug–drug interactions. The majority of currently available drugs are metabolized by CYP450 enzymes. Interactions due to shared CYP450-mediated metabolic pathways for two or more drugs are frequent, especially through reversible or irreversible CYP450 inhibition. The magnitude of these interactions depends on several factors, including varying affinity and concentration of substrates, time delay between the administration of the drugs, and mechanisms of CYP450 inhibition. Various types of CYP450 inhibition (competitive, non-competitive, mechanism-based) have been observed clinically, and interactions of these types require a distinct clinical management strategy. This review focuses on mechanism-based inhibition, which occurs when a substrate forms a reactive intermediate, creating a stable enzyme–intermediate complex that irreversibly reduces enzyme activity. This type of inhibition can cause interactions with drugs such as omeprazole, paroxetine, macrolide antibiotics, or mirabegron. A good understanding of mechanism-based inhibition and proper clinical management is needed by clinicians when such drugs are prescribed. It is important to recognize mechanism-based inhibition since it cannot be prevented by separating the time of administration of the interacting drugs. Here, we provide a comprehensive overview of the different types of mechanism-based inhibition, along with illustrative examples of how mechanism-based inhibition might affect prescribing and clinical behaviors.","container-title":"Pharmaceutics","DOI":"10.3390/pharmaceutics12090846","ISSN":"1999-4923","issue":"9","journalAbbreviation":"Pharmaceutics","note":"PMID: 32899642\nPMCID: PMC7557591","page":"846","source":"PubMed Central","title":"Mechanisms of CYP450 Inhibition: Understanding Drug-Drug Interactions Due to Mechanism-Based Inhibition in Clinical Practice","title-short":"Mechanisms of CYP450 Inhibition","volume":"12","author":[{"family":"Deodhar","given":"Malavika"},{"family":"Al Rihani","given":"Sweilem B"},{"family":"Arwood","given":"Meghan J."},{"family":"Darakjian","given":"Lucy"},{"family":"Dow","given":"Pamela"},{"family":"Turgeon","given":"Jacques"},{"family":"Michaud","given":"Veronique"}],"issued":{"date-parts":[["2020",9,4]]}}}],"schema":"https://github.com/citation-style-language/schema/raw/master/csl-citation.json"} </w:instrText>
      </w:r>
      <w:r w:rsidR="00EC7E39" w:rsidRPr="00EC7E39">
        <w:rPr>
          <w:rFonts w:ascii="Times New Roman" w:hAnsi="Times New Roman"/>
          <w:kern w:val="2"/>
          <w:szCs w:val="24"/>
        </w:rPr>
        <w:fldChar w:fldCharType="separate"/>
      </w:r>
      <w:r w:rsidR="002C548A" w:rsidRPr="002C548A">
        <w:rPr>
          <w:rFonts w:ascii="Times New Roman" w:hAnsi="Times New Roman"/>
          <w:szCs w:val="24"/>
          <w:vertAlign w:val="superscript"/>
        </w:rPr>
        <w:t>7</w:t>
      </w:r>
      <w:r w:rsidR="00EC7E39" w:rsidRPr="00EC7E39">
        <w:rPr>
          <w:rFonts w:ascii="Times New Roman" w:hAnsi="Times New Roman"/>
          <w:kern w:val="2"/>
          <w:szCs w:val="24"/>
        </w:rPr>
        <w:fldChar w:fldCharType="end"/>
      </w:r>
      <w:r w:rsidRPr="00EC7E39">
        <w:rPr>
          <w:rFonts w:ascii="Times New Roman" w:hAnsi="Times New Roman"/>
          <w:kern w:val="2"/>
          <w:szCs w:val="24"/>
        </w:rPr>
        <w:t xml:space="preserve"> To avoid harmful DDIs, the regulatory agencies including the United States Food and Drug Administration (USFDA) and the European Medicines Agency (EMA) have recommended to assess the DDI potentials of drug candidates against the pivotal hepatic CYPs (such as CYP3A4) before drug approval, which emphasized the importance of novel and efficient tools for predicting CYP3A4 inhibition potentials of the drug candidates.</w:t>
      </w:r>
      <w:r w:rsidRPr="004C52D9">
        <w:rPr>
          <w:rFonts w:ascii="Times New Roman" w:hAnsi="Times New Roman"/>
          <w:kern w:val="2"/>
          <w:szCs w:val="24"/>
        </w:rPr>
        <w:t xml:space="preserve"> </w:t>
      </w:r>
    </w:p>
    <w:p w14:paraId="1B057B6B" w14:textId="62807E10" w:rsidR="00615E84" w:rsidRPr="004C52D9" w:rsidRDefault="00615E84" w:rsidP="005C60FF">
      <w:pPr>
        <w:spacing w:beforeLines="50" w:before="156" w:afterLines="50" w:after="156" w:line="276" w:lineRule="auto"/>
        <w:ind w:firstLineChars="100" w:firstLine="240"/>
        <w:rPr>
          <w:rFonts w:ascii="Times New Roman" w:hAnsi="Times New Roman" w:cs="Times New Roman"/>
          <w:sz w:val="24"/>
          <w:szCs w:val="24"/>
        </w:rPr>
      </w:pPr>
      <w:r w:rsidRPr="004C52D9">
        <w:rPr>
          <w:rFonts w:ascii="Times New Roman" w:hAnsi="Times New Roman" w:cs="Times New Roman"/>
          <w:sz w:val="24"/>
          <w:szCs w:val="24"/>
        </w:rPr>
        <w:t xml:space="preserve">Over the past few decades, a panel of experimental approaches have been developed </w:t>
      </w:r>
      <w:r w:rsidR="00981F62">
        <w:rPr>
          <w:rFonts w:ascii="Times New Roman" w:hAnsi="Times New Roman" w:cs="Times New Roman"/>
          <w:sz w:val="24"/>
          <w:szCs w:val="24"/>
        </w:rPr>
        <w:t>to screen</w:t>
      </w:r>
      <w:r w:rsidRPr="004C52D9">
        <w:rPr>
          <w:rFonts w:ascii="Times New Roman" w:hAnsi="Times New Roman" w:cs="Times New Roman"/>
          <w:sz w:val="24"/>
          <w:szCs w:val="24"/>
        </w:rPr>
        <w:t xml:space="preserve"> CYP3A4 inhibitors, </w:t>
      </w:r>
      <w:r w:rsidRPr="00C24497">
        <w:rPr>
          <w:rFonts w:ascii="Times New Roman" w:hAnsi="Times New Roman" w:cs="Times New Roman"/>
          <w:sz w:val="24"/>
          <w:szCs w:val="24"/>
        </w:rPr>
        <w:t>which primarily rel</w:t>
      </w:r>
      <w:r w:rsidR="00981F62">
        <w:rPr>
          <w:rFonts w:ascii="Times New Roman" w:hAnsi="Times New Roman" w:cs="Times New Roman"/>
          <w:sz w:val="24"/>
          <w:szCs w:val="24"/>
        </w:rPr>
        <w:t>y</w:t>
      </w:r>
      <w:r w:rsidRPr="00C24497">
        <w:rPr>
          <w:rFonts w:ascii="Times New Roman" w:hAnsi="Times New Roman" w:cs="Times New Roman"/>
          <w:sz w:val="24"/>
          <w:szCs w:val="24"/>
        </w:rPr>
        <w:t xml:space="preserve"> on quantitative high-throughput screening methods including bioluminescence or fluorescence-based assays, as well as mass spectrometry-based assays.</w:t>
      </w:r>
      <w:r w:rsidR="00891369" w:rsidRPr="00C24497">
        <w:rPr>
          <w:rFonts w:ascii="Times New Roman" w:hAnsi="Times New Roman" w:cs="Times New Roman"/>
          <w:sz w:val="24"/>
          <w:szCs w:val="24"/>
        </w:rPr>
        <w:fldChar w:fldCharType="begin"/>
      </w:r>
      <w:r w:rsidR="00891369" w:rsidRPr="00C24497">
        <w:rPr>
          <w:rFonts w:ascii="Times New Roman" w:hAnsi="Times New Roman" w:cs="Times New Roman"/>
          <w:sz w:val="24"/>
          <w:szCs w:val="24"/>
        </w:rPr>
        <w:instrText xml:space="preserve"> ADDIN ZOTERO_ITEM CSL_CITATION {"citationID":"qlIsvKOX","properties":{"formattedCitation":"\\super 8\\uc0\\u8211{}10\\nosupersub{}","plainCitation":"8–10","noteIndex":0},"citationItems":[{"id":2345,"uris":["http://zotero.org/users/9157699/items/YQ37SH2M"],"itemData":{"id":2345,"type":"article-journal","abstract":"Bufalin 5β-hydroxylation was found to be an isoform-specific biotransformation probe substrate for cytochrome P450 3A4 (CYP3A4). The probe reaction was well-characterized and it can be used for measuring the real catalytic activities of CYP3A4 from different enzyme sources.","container-title":"Chemical Communications (Cambridge, England)","DOI":"10.1039/c3cc45250f","ISSN":"1364-548X","issue":"84","journalAbbreviation":"Chem Commun (Camb)","language":"eng","note":"PMID: 24026006","page":"9779-9781","source":"PubMed","title":"A highly selective probe for human cytochrome P450 3A4: isoform selectivity, kinetic characterization and its applications","title-short":"A highly selective probe for human cytochrome P450 3A4","volume":"49","author":[{"family":"Ge","given":"Guang-Bo"},{"family":"Ning","given":"Jing"},{"family":"Hu","given":"Liang-Hai"},{"family":"Dai","given":"Zi-Ru"},{"family":"Hou","given":"Jie"},{"family":"Cao","given":"Yun-Feng"},{"family":"Yu","given":"Zhen-Wen"},{"family":"Ai","given":"Chun-Zhi"},{"family":"Gu","given":"Jing-Kai"},{"family":"Ma","given":"Xiao-Chi"},{"family":"Yang","given":"Ling"}],"issued":{"date-parts":[["2013",10,28]]}}},{"id":2341,"uris":["http://zotero.org/users/9157699/items/U5YGBYCU"],"itemData":{"id":2341,"type":"article-journal","abstract":"Sanguinarine (SAG) has been recognized as an anticancer drug candidate. However, the drug-drug interactions (DDI) potential for SAG via the inhibition against human cytochrome P450 (CYP) enzymes remains unclear. In the present study, the inhibitory effects of SAG on seven major human CYP isoforms 1A2, 2A6, 2E1, 2D6, 2C8, 2C9 and 3A4 were investigated with human liver microsomes (HLM). The results showed that SAG was a potent noncompetitive inhibitor of CYP2C8 activity (Ki=8.9 μM), and competitive inhibitor of CYP1A2, CYP2C9 and CYP3A4 activities (Ki=2.7, 3.8 and 2.0 μM, respectively). Furthermore, SAG exhibited time- and NADPH-dependent inhibition towards CYP1A2 and CYP3A4 with KI/kinact values of 13.3/0.087 and 5.58/0.029 min(-1) μM(-1), respectively. Weak inhibition of SAG against CYP2E1, CYP2D6 and CYP2A6 was also observed. In vitro-in vivo extrapolation (IV-IVE) from HLM data showed that more than 35.9% of CYP1A2, CYP2C9, CYP2C8 and CYP3A4 activities in vivo could be inhibited by SAG, suggesting that harmful DDIs could occur when SAG or its medical preparations are co-administered with drugs primarily cleared by these CYP isoforms. Further in vivo studies are needed to evaluate the clinical significance of the data presented herein.","container-title":"Food and Chemical Toxicology: An International Journal Published for the British Industrial Biological Research Association","DOI":"10.1016/j.fct.2013.02.054","ISSN":"1873-6351","journalAbbreviation":"Food Chem Toxicol","language":"eng","note":"PMID: 23500771","page":"392-397","source":"PubMed","title":"Inhibitory effects of sanguinarine on human liver cytochrome P450 enzymes","volume":"56","author":[{"family":"Qi","given":"Xiao-Yi"},{"family":"Liang","given":"Si-Cheng"},{"family":"Ge","given":"Guang-Bo"},{"family":"Liu","given":"Yong"},{"family":"Dong","given":"Pei-Pei"},{"family":"Zhang","given":"Jiang-Wei"},{"family":"Wang","given":"Ao-Xue"},{"family":"Hou","given":"Jie"},{"family":"Zhu","given":"Liang-Liang"},{"family":"Yang","given":"Ling"},{"family":"Tu","given":"Cai-Xia"}],"issued":{"date-parts":[["2013",6]]}}},{"id":2343,"uris":["http://zotero.org/users/9157699/items/4FT3U5GI"],"itemData":{"id":2343,"type":"article-journal","abstract":"Cytochrome P450 3A4 (CYP3A4) is a key xenobiotic-metabolizing enzyme-mediated drug metabolism and drug-drug interaction (DDI). Herein, an effective strategy was used to rationally construct a practical two-photon fluorogenic substrate for hCYP3A4. Following two-round structure-based substrate discovery and optimization, we have successfully constructed a hCYP3A4 fluorogenic substrate (F8) with desirable features, including high binding affinity, rapid response, excellent isoform specificity, and low cytotoxicity. Under physiological conditions, F8 is readily metabolized by hCYP3A4 to form a brightly fluorescent product (4-OH F8) that can be easily detected by various fluorescence devices. The practicality of F8 for real-time sensing and functional imaging of hCYP3A4 has been examined in tissue preparations, living cells, and organ slices. F8 also demonstrates good performance for high-throughput screening of hCYP3A4 inhibitors and assessing DDI potentials in vivo. Collectively, this study develops an advanced molecular tool for sensing CYP3A4 activities in biological systems, which strongly facilitates CYP3A4-associated fundamental and applied research studies.","container-title":"Journal of Medicinal Chemistry","DOI":"10.1021/acs.jmedchem.3c00101","ISSN":"1520-4804","issue":"10","journalAbbreviation":"J Med Chem","language":"eng","note":"PMID: 37145039","page":"6743-6755","source":"PubMed","title":"Rationally Engineered CYP3A4 Fluorogenic Substrates for Functional Imaging Analysis and Drug-Drug Interaction Studies","volume":"66","author":[{"family":"He","given":"Rong-Jing"},{"family":"Tian","given":"Zhen-Hao"},{"family":"Huang","given":"Jian"},{"family":"Sun","given":"Meng-Ru"},{"family":"Wei","given":"Feng"},{"family":"Li","given":"Chun-Yu"},{"family":"Zeng","given":"Hai-Rong"},{"family":"Zhang","given":"Feng"},{"family":"Guan","given":"Xiao-Qing"},{"family":"Feng","given":"Yan"},{"family":"Meng","given":"Xiang-Ming"},{"family":"Yang","given":"Hui"},{"family":"Ge","given":"Guang-Bo"}],"issued":{"date-parts":[["2023",5,25]]}}}],"schema":"https://github.com/citation-style-language/schema/raw/master/csl-citation.json"} </w:instrText>
      </w:r>
      <w:r w:rsidR="00891369" w:rsidRPr="00C24497">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8–10</w:t>
      </w:r>
      <w:r w:rsidR="00891369" w:rsidRPr="00C24497">
        <w:rPr>
          <w:rFonts w:ascii="Times New Roman" w:hAnsi="Times New Roman" w:cs="Times New Roman"/>
          <w:sz w:val="24"/>
          <w:szCs w:val="24"/>
        </w:rPr>
        <w:fldChar w:fldCharType="end"/>
      </w:r>
      <w:r w:rsidRPr="00C24497">
        <w:rPr>
          <w:rFonts w:ascii="Times New Roman" w:hAnsi="Times New Roman" w:cs="Times New Roman"/>
          <w:sz w:val="24"/>
          <w:szCs w:val="24"/>
        </w:rPr>
        <w:t xml:space="preserve"> However, these experimental methods still require a significant investment of skilled operators, high-cost devices and redundant sample preparation procedure</w:t>
      </w:r>
      <w:r w:rsidR="00981F62">
        <w:rPr>
          <w:rFonts w:ascii="Times New Roman" w:hAnsi="Times New Roman" w:cs="Times New Roman"/>
          <w:sz w:val="24"/>
          <w:szCs w:val="24"/>
        </w:rPr>
        <w:t>s</w:t>
      </w:r>
      <w:r w:rsidRPr="00C24497">
        <w:rPr>
          <w:rFonts w:ascii="Times New Roman" w:hAnsi="Times New Roman" w:cs="Times New Roman"/>
          <w:sz w:val="24"/>
          <w:szCs w:val="24"/>
        </w:rPr>
        <w:t>. To address these challenges, computational methods have emerged as valuable tools for high-throughput assessing biological activities of compounds in the early stages of drug discovery.</w:t>
      </w:r>
      <w:r w:rsidR="00891369" w:rsidRPr="00C24497">
        <w:rPr>
          <w:rFonts w:ascii="Times New Roman" w:hAnsi="Times New Roman" w:cs="Times New Roman"/>
          <w:sz w:val="24"/>
          <w:szCs w:val="24"/>
        </w:rPr>
        <w:fldChar w:fldCharType="begin"/>
      </w:r>
      <w:r w:rsidR="00891369" w:rsidRPr="00C24497">
        <w:rPr>
          <w:rFonts w:ascii="Times New Roman" w:hAnsi="Times New Roman" w:cs="Times New Roman"/>
          <w:sz w:val="24"/>
          <w:szCs w:val="24"/>
        </w:rPr>
        <w:instrText xml:space="preserve"> ADDIN ZOTERO_ITEM CSL_CITATION {"citationID":"LqcKkveA","properties":{"formattedCitation":"\\super 11\\nosupersub{}","plainCitation":"11","noteIndex":0},"citationItems":[{"id":2347,"uris":["http://zotero.org/users/9157699/items/RE9PB7ES"],"itemData":{"id":2347,"type":"article-journal","abstract":"Computer-aided drug discovery/design methods have played a major role in the development of therapeutically important small molecules for over three decades. These methods are broadly classified as either structure-based or ligand-based methods. Structure-based methods are in principle analogous to high-throughput screening in that both target and ligand structure information is imperative. Structure-based approaches include ligand docking, pharmacophore, and ligand design methods. The article discusses theory behind the most important methods and recent successful applications. Ligand-based methods use only ligand information for predicting activity depending on its similarity/dissimilarity to previously known active ligands. We review widely used ligand-based methods such as ligand-based pharmacophores, molecular descriptors, and quantitative structure-activity relationships. In addition, important tools such as target/ligand data bases, homology modeling, ligand fingerprint methods, etc., necessary for successful implementation of various computer-aided drug discovery/design methods in a drug discovery campaign are discussed. Finally, computational methods for toxicity prediction and optimization for favorable physiologic properties are discussed with successful examples from literature.","container-title":"Pharmacological Reviews","DOI":"10.1124/pr.112.007336","ISSN":"1521-0081","issue":"1","journalAbbreviation":"Pharmacol Rev","language":"eng","note":"PMID: 24381236\nPMCID: PMC3880464","page":"334-395","source":"PubMed","title":"Computational methods in drug discovery","volume":"66","author":[{"family":"Sliwoski","given":"Gregory"},{"family":"Kothiwale","given":"Sandeepkumar"},{"family":"Meiler","given":"Jens"},{"family":"Lowe","given":"Edward W."}],"issued":{"date-parts":[["2014"]]}}}],"schema":"https://github.com/citation-style-language/schema/raw/master/csl-citation.json"} </w:instrText>
      </w:r>
      <w:r w:rsidR="00891369" w:rsidRPr="00C24497">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11</w:t>
      </w:r>
      <w:r w:rsidR="00891369" w:rsidRPr="00C24497">
        <w:rPr>
          <w:rFonts w:ascii="Times New Roman" w:hAnsi="Times New Roman" w:cs="Times New Roman"/>
          <w:sz w:val="24"/>
          <w:szCs w:val="24"/>
        </w:rPr>
        <w:fldChar w:fldCharType="end"/>
      </w:r>
      <w:r w:rsidRPr="00C24497">
        <w:rPr>
          <w:rFonts w:ascii="Times New Roman" w:hAnsi="Times New Roman" w:cs="Times New Roman"/>
          <w:sz w:val="24"/>
          <w:szCs w:val="24"/>
        </w:rPr>
        <w:t xml:space="preserve"> Virtual screening, in particular, has the potential to save a significant amount of time and resources in the lead selection and structure optimization. Nevertheless, canonical structure-based docking methods have encountered difficulties due to the inherent flexibility of CYP structures</w:t>
      </w:r>
      <w:r w:rsidRPr="004C52D9">
        <w:rPr>
          <w:rFonts w:ascii="Times New Roman" w:hAnsi="Times New Roman" w:cs="Times New Roman"/>
          <w:sz w:val="24"/>
          <w:szCs w:val="24"/>
        </w:rPr>
        <w:t>.</w:t>
      </w:r>
      <w:r w:rsidR="00891369">
        <w:rPr>
          <w:rFonts w:ascii="Times New Roman" w:hAnsi="Times New Roman" w:cs="Times New Roman"/>
          <w:sz w:val="24"/>
          <w:szCs w:val="24"/>
        </w:rPr>
        <w:fldChar w:fldCharType="begin"/>
      </w:r>
      <w:r w:rsidR="007B52CD">
        <w:rPr>
          <w:rFonts w:ascii="Times New Roman" w:hAnsi="Times New Roman" w:cs="Times New Roman"/>
          <w:sz w:val="24"/>
          <w:szCs w:val="24"/>
        </w:rPr>
        <w:instrText xml:space="preserve"> ADDIN ZOTERO_ITEM CSL_CITATION {"citationID":"e0PovWpH","properties":{"formattedCitation":"\\super 12\\uc0\\u8211{}14\\nosupersub{}","plainCitation":"12–14","noteIndex":0},"citationItems":[{"id":2350,"uris":["http://zotero.org/users/9157699/items/6D64UNN</w:instrText>
      </w:r>
      <w:r w:rsidR="007B52CD">
        <w:rPr>
          <w:rFonts w:ascii="Times New Roman" w:hAnsi="Times New Roman" w:cs="Times New Roman" w:hint="eastAsia"/>
          <w:sz w:val="24"/>
          <w:szCs w:val="24"/>
        </w:rPr>
        <w:instrText xml:space="preserve">Y"],"itemData":{"id":2350,"type":"article-journal","abstract":"Cytochrome P450 (CYP) 3A4 is the most promiscuous of the human CYP enzymes and contributes to the metabolism of </w:instrText>
      </w:r>
      <w:r w:rsidR="007B52CD">
        <w:rPr>
          <w:rFonts w:ascii="Times New Roman" w:hAnsi="Times New Roman" w:cs="Times New Roman" w:hint="eastAsia"/>
          <w:sz w:val="24"/>
          <w:szCs w:val="24"/>
        </w:rPr>
        <w:instrText>≈</w:instrText>
      </w:r>
      <w:r w:rsidR="007B52CD">
        <w:rPr>
          <w:rFonts w:ascii="Times New Roman" w:hAnsi="Times New Roman" w:cs="Times New Roman" w:hint="eastAsia"/>
          <w:sz w:val="24"/>
          <w:szCs w:val="24"/>
        </w:rPr>
        <w:instrText>50% of marketed drugs. It is also the isoform most often involved in unwanted d</w:instrText>
      </w:r>
      <w:r w:rsidR="007B52CD">
        <w:rPr>
          <w:rFonts w:ascii="Times New Roman" w:hAnsi="Times New Roman" w:cs="Times New Roman"/>
          <w:sz w:val="24"/>
          <w:szCs w:val="24"/>
        </w:rPr>
        <w:instrText xml:space="preserve">rug–drug interactions. A better understanding of the molecular mechanisms governing CYP3A4–ligand interaction therefore would be of great importance to any drug discovery effort. Here, we present crystal structures of human CYP3A4 in complex with two well characterized drugs: ketoconazole and erythromycin. In contrast to previous reports, the protein undergoes dramatic conformational changes upon ligand binding with an increase in the active site volume by &gt;80%. The structures represent two distinct open conformations of CYP3A4 because ketoconazole and erythromycin induce different types of coordinate shifts. The binding of two molecules of ketoconazole to the CYP3A4 active site and the clear indication of multiple binding modes for erythromycin has implications for the interpretation of the atypical kinetic data often displayed by CYP3A4. The extreme flexibility revealed by the present structures also challenges any attempt to apply computational design tools without the support of relevant experimental data.","container-title":"Proceedings of the National Academy of Sciences","DOI":"10.1073/pnas.0603236103","issue":"37","note":"publisher: Proceedings of the National Academy of Sciences","page":"13682-13687","source":"pnas.org (Atypon)","title":"Structural basis for ligand promiscuity in cytochrome P450 3A4","volume":"103","author":[{"family":"Ekroos","given":"Marika"},{"family":"Sjögren","given":"Tove"}],"issued":{"date-parts":[["2006",9,12]]}}},{"id":2352,"uris":["http://zotero.org/users/9157699/items/3E2WHH66"],"itemData":{"id":2352,"type":"article-journal","abstract":"Cytochrome P450 3A4 (CYP3A4) catalyzes the initial step in the clearance of many pharmaceuticals and foreign chemicals. The structurally diverse nature of CYP3A4 substrates complicates rational prediction of their metabolism and identification of potential drug interactions. The first molecular structures of human CYP3A4 were recently determined, revealing an active site of sufficient size and topography to accommodate either large ligands or multiple smaller ligands, as suggested by the heterotropic and homotropic cooperativity of the enzyme.","container-title":"Trends in Biochemical Sciences","DOI":"10.1016/j.tibs.2004.11.004","ISSN":"0968-0004","issue":"1","journalAbbreviation":"Trends Biochem Sci","language":"eng","note":"PMID: 15653318","page":"5-7","source":"PubMed","title":"Structures of cytochrome P450 3A4","volume":"30","author":[{"family":"Scott","given":"Emily E."},{"family":"Halpert","given":"James R."}],"issued":{"date-parts":[["2005",1]]}},"label":"page"},{"id":2363,"uris":["http://zotero.org/users/9157699/items/KZT4EKC9"],"itemData":{"id":2363,"type":"article-journal","abstract":"The human cytochrome P450 (CYP450) isozymes are the most important enzymes in the body to metabolize many endogenous and exogenous substances including environmental toxins and therapeutic drugs. Any unnecessary interactions between a small molecule and CYP450 isozymes may raise a potential to disarm the integrity of the protection. Accurately predicting the potential interactions between a small molecule and CYP450 isozymes is highly desirable for assessing the metabolic stability and toxicity of the molecule. The National Institutes of Health Chemical Genomics Center (NCGC) has screened a collection of over 17,000 compounds against the five major isozymes of CYP450 (1A2, 2C9, 2C19, 2D6, and 3A4) in a quantitative high throughput screening (qHTS) format. In this study, we developed support vector classification (SVC) models for these five isozymes using a set of customized generic atom types. The CYP450 data sets were randomly split into equal-sized training and test sets. The optimized SVC models exhibited high predictive power against the test sets for all five CYP450 isozymes with accuracies of 0.93, 0.89, 0.89, 0.85, and 0.87 for 1A2, 2C9, 2C19, 2D6, and 3A4, respectively, as measured by the area under the receiver operating characteristic (ROC) curves. The important atom types and features extracted from the five models are consistent with the structural preferences for different CYP450 substrates reported in the literature. We also identified novel features with significant discerning power to separate CYP450 actives from inactives. These models can be useful in prioritizing compounds in a drug discovery pipeline or recognizing the toxic potential of environmental chemicals.","container-title":"Journal of Chemical Information and Modeling","DOI":"10.1021/ci200311w","ISSN":"1549-960X","issue":"10","journalAbbreviation":"J Chem Inf Model","language":"eng","note":"PMID: 21905670\nPMCID: PMC3200453","page":"2474-2481","source":"PubMed","title":"Predictive models for cytochrome p450 isozymes based on quantitative high throughput screening data","volume":"51","author":[{"family":"Sun","given":"Hongmao"},{"family":"Veith","given":"Henrike"},{"family":"Xia","given":"Menghang"},{"family":"Austin","given":"Christopher P."},{"family":"Huang","given":"Ruili"}],"issued":{"date-parts":[["2011",10,24]]}}}],"schema":"https://github.com/citation-style-language/schema/raw/master/csl-citation.json"} </w:instrText>
      </w:r>
      <w:r w:rsidR="00891369">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12–14</w:t>
      </w:r>
      <w:r w:rsidR="00891369">
        <w:rPr>
          <w:rFonts w:ascii="Times New Roman" w:hAnsi="Times New Roman" w:cs="Times New Roman"/>
          <w:sz w:val="24"/>
          <w:szCs w:val="24"/>
        </w:rPr>
        <w:fldChar w:fldCharType="end"/>
      </w:r>
      <w:r w:rsidRPr="004C52D9">
        <w:rPr>
          <w:rFonts w:ascii="Times New Roman" w:hAnsi="Times New Roman" w:cs="Times New Roman"/>
          <w:sz w:val="24"/>
          <w:szCs w:val="24"/>
        </w:rPr>
        <w:t xml:space="preserve"> On the other hand, data-driven approaches have demonstrated superior prediction accuracy for CYP inhibition activity.</w:t>
      </w:r>
      <w:r w:rsidR="00997375">
        <w:rPr>
          <w:rFonts w:ascii="Times New Roman" w:hAnsi="Times New Roman" w:cs="Times New Roman"/>
          <w:sz w:val="24"/>
          <w:szCs w:val="24"/>
        </w:rPr>
        <w:fldChar w:fldCharType="begin"/>
      </w:r>
      <w:r w:rsidR="007B52CD">
        <w:rPr>
          <w:rFonts w:ascii="Times New Roman" w:hAnsi="Times New Roman" w:cs="Times New Roman"/>
          <w:sz w:val="24"/>
          <w:szCs w:val="24"/>
        </w:rPr>
        <w:instrText xml:space="preserve"> ADDIN ZOTERO_ITEM CSL_CITATION {"citationID":"blStxVvm","properties":{"formattedCitation":"\\super 15\\uc0\\u8211{}17\\nosupersub{}","plainCitation":"15–17","noteIndex":0},"citationItems":[{"id":132,"uris":["http://zotero.org/users/9157699/items/Y9RDNWCI"],"itemData":{"id":132,"type":"article-journal","abstract":"The vast majority of approved drugs are metabolized by the five major cytochrome P450 (CYP) isozymes, 1A2, 2C9, 2C19, 2D6 and 3A4. Inhibition of CYP isozymes can cause drug-drug interactions with severe pharmaco­ logical and toxicological consequences. Computational methods for the fast and reliable prediction of the inhi­ bition of CYP isozymes by small molecules are therefore of high interest and relevance to pharmaceutical companies and a host of other industries, including the cosmetics and agrochemical industries. Today, a large number of machine learning models for predicting the inhibition of the major CYP isozymes by small molecules are available. With this work we aim to go beyond the coverage of existing models, by combining data from several major public and proprietary sources. More specifically, we used up to 18815 compounds with measured bioactivities to train random forest classification models for the individual CYP isozymes. A major advantage of the new data collection over existing ones is the better representation of the minority class, the CYP inhibitors. With the new data collection we achieved inhibitor-to-non-inhibitor ratios in the order of 1:1 (CYP1A2) to 1:3 (CYP2D6). We show that our models reach competitive performance on external data, with Matthews correlation coefficients (MCCs) ranging from 0.62 (CYP2C19) to 0.70 (CYP2D6), and areas under the receiver operating characteristic curve (AUCs) between 0.89 (CYP2C19) and 0.92 (CYPs 2D6 and 3A4). Importantly, the models show a high level of robustness, reflected in a good predictivity also for compounds that are structurally dis­ similar to the compounds represented in the training data. The best models presented in this work are freely accessible for academic research via a web service.","container-title":"Bioorganic &amp; Medicinal Chemistry","DOI":"10.1016/j.bmc.2021.116388","ISSN":"09680896","journalAbbreviation":"Bioorganic &amp; Medicinal Chemistry","language":"en","page":"116388","source":"DOI.org (Crossref)","title":"CYPlebrity: Machine learning models for the prediction of inhibitors of cytochrome P450 enzymes","title-short":"CYPlebrity","volume":"46","author":[{"family":"Plonka","given":"Wojciech"},{"family":"Stork","given":"Conrad"},{"family":"Šícho","given":"Martin"},{"family":"Kirchmair","given":"Johannes"}],"issued":{"date-parts":[["2021",9]]}},"label":"page"},{"id":175,"uris":["http://zotero.org/users/9157699/items/R6TIMHBH"],"itemData":{"id":175,"type":"article-journal","abstract":"Roughly 2.8% of annual hospitalizations are a result of adverse drug interactions in the United States, representing more than 245,000 hospitalizations. Drug–drug interactions commonly arise from major cytochrome P450 (CYP) inhibition. Various approaches are routinely employed in order to reduce the incidence of adverse interactions, such as altering drug dosing schemes and/or minimizing the number of drugs prescribed; however, often, a reduction in the number of medications cannot be achieved without impacting therapeutic outcomes. Nearly 80% of drugs fail in development due to pharmacokinetic issues, outlining the importance of examining cytochrome interactions during preclinical drug design. In this review, we examined the physiochemical and structural properties of small molecule inhibitors of CYPs 3A4, 2D6, 2C19, 2C9, and 1A2. Although CYP inhibitors tend to have distinct physiochemical properties and structural features, these descriptors alone are insufﬁcient to predict major cytochrome inhibition probability and afﬁnity. Machine learning based in silico approaches may be employed as a more robust and accurate way of predicting CYP inhibition. These various approaches are highlighted in the review.","container-title":"Pharmaceuticals","DOI":"10.3390/ph14050472","ISSN":"1424-8247","issue":"5","journalAbbreviation":"Pharmaceuticals","language":"en","page":"472","source":"DOI.org (Crossref)","title":"Descriptors of Cytochrome Inhibitors and Useful Machine Learning Based Methods for the Design of Safer Drugs","volume":"14","author":[{"family":"Beck","given":"Tyler C."},{"family":"Beck","given":"Kyle R."},{"family":"Morningstar","given":"Jordan"},{"family":"Benjamin","given":"Menny M."},{"family":"Norris","given":"Russell A."}],"issued":{"date-parts":[["2021",5,17]]}},"label":"page"},{"id":137,"uris":["http://zotero.org/users/9157699/items/DHDP43I6"],"itemData":{"id":137,"type":"paper-conference","abstract":"The pharmacokinetic properties of absorption, distribution, metabolism and excretion (ADME) play a crucial role in drug discovery and development, since many drug candidates fail due to an inappropriate pharmacokinetic profile. Cytochrome P450 enzymes are predominantly involved in Phase 1 metabolism of xenobiotics. Thus, it is important to better understand and prognosticate substrate binding and inhibition of CYP450. The goal of this study was to obtain QSAR (Quantitative Structure-Activity Relationship) models to identify substrates and inhibitors of CYP3A4. The data sets were collected and curated from online available databases and literature. Several QSAR models were obtained and validated according to the recommendations of the Organization for Economic Cooperation Development (OECD). The combination of different descriptors and machine learning methods led to robust and predictive QSAR models with high coverage. The interpretation of developed models was performed using the predicted probability maps (PPMs). These maps help to encode major structural fragments to classify compounds as inhibitors or not inhibitors of CYP3A4. In conclusion, the obtained models can reliably identify substrates and non-substrates, and inhibitors and non-inhibitors of CYP3A4, which is very important in the early stages of the development of new drugs.","container-title":"Proceedings of MOL2NET, International Conference on Multidisciplinary Sciences","DOI":"10.3390/MOL2NET-1-b034","event-place":"Sciforum.net","event-title":"MOL2NET, International Conference on Multidisciplinary Sciences","language":"en","page":"b034","publisher":"MDPI","publisher-place":"Sciforum.net","source":"DOI.org (Crossref)","title":"Development of QSAR models for identification of CYP3A4 substrates and inhibitors","URL":"http://sciforum.net/conference/MOL2NET-1/paper/3362","author":[{"family":"Silva","given":"Flávia"},{"family":"Varlamova","given":"Ekaterina"},{"family":"Braga","given":"Rodolpho"},{"family":"Andrade","given":"Carolina"}],"accessed":{"date-parts":[["2022",5,14]]},"issued":{"date-parts":[["2015",12,4]]}}}],"schema":"https://github.com/citation-style-language/schema/raw/master/csl-citation.json"} </w:instrText>
      </w:r>
      <w:r w:rsidR="00997375">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15–17</w:t>
      </w:r>
      <w:r w:rsidR="00997375">
        <w:rPr>
          <w:rFonts w:ascii="Times New Roman" w:hAnsi="Times New Roman" w:cs="Times New Roman"/>
          <w:sz w:val="24"/>
          <w:szCs w:val="24"/>
        </w:rPr>
        <w:fldChar w:fldCharType="end"/>
      </w:r>
      <w:r w:rsidRPr="004C52D9">
        <w:rPr>
          <w:rFonts w:ascii="Times New Roman" w:hAnsi="Times New Roman" w:cs="Times New Roman"/>
          <w:sz w:val="24"/>
          <w:szCs w:val="24"/>
        </w:rPr>
        <w:t xml:space="preserve"> In recent years, the accumulation of data,</w:t>
      </w:r>
      <w:r w:rsidR="002C548A">
        <w:rPr>
          <w:rFonts w:ascii="Times New Roman" w:hAnsi="Times New Roman" w:cs="Times New Roman"/>
          <w:sz w:val="24"/>
          <w:szCs w:val="24"/>
        </w:rPr>
        <w:fldChar w:fldCharType="begin"/>
      </w:r>
      <w:r w:rsidR="002C548A">
        <w:rPr>
          <w:rFonts w:ascii="Times New Roman" w:hAnsi="Times New Roman" w:cs="Times New Roman"/>
          <w:sz w:val="24"/>
          <w:szCs w:val="24"/>
        </w:rPr>
        <w:instrText xml:space="preserve"> ADDIN ZOTERO_ITEM CSL_CITATION {"citationID":"hxdo9bTL","properties":{"formattedCitation":"\\super 18,19\\nosupersub{}","plainCitation":"18,19","noteIndex":0},"citationItems":[{"id":2368,"uris":["http://zotero.org/users/9157699/items/ZR9UL7QY"],"itemData":{"id":2368,"type":"article-journal","abstract":"The cytochrome P450 (CYP) gene family catalyzes drug metabolism and bioactivation and is therefore relevant to drug development. We determined potency values for 17,143 compounds against five recombinant CYP isozymes (1A2, 2C9, 2C19, 2D6 and 3A4) using an in vitro bioluminescent assay. The compounds included libraries of US Food and Drug Administration (FDA)-approved drugs and screening libraries. We observed cross-library isozyme inhibition (30-78%) with important differences between libraries. Whereas only 7% of the typical screening library was inactive against all five isozymes, 33% of FDA-approved drugs were inactive, reflecting the optimized pharmacological properties of the latter. Our results suggest that low CYP 2C isozyme activity is a common property of drugs, whereas other isozymes, such as CYP 2D6, show little discrimination between drugs and unoptimized compounds found in screening libraries. We also identified chemical substructures that differentiated between the five isozymes. The pharmacological compendium described here should further the understanding of CYP isozymes.","container-title":"Nature Biotechnology","DOI":"10.1038/nbt.1581","ISSN":"1546-1696","issue":"11","journalAbbreviation":"Nat Biotechnol","language":"eng","note":"PMID: 19855396\nPMCID: PMC2783980","page":"1050-1055","source":"PubMed","title":"Comprehensive characterization of cytochrome P450 isozyme selectivity across chemical libraries","volume":"27","author":[{"family":"Veith","given":"Henrike"},{"family":"Southall","given":"Noel"},{"family":"Huang","given":"Ruili"},{"family":"James","given":"Tim"},{"family":"Fayne","given":"Darren"},{"family":"Artemenko","given":"Natalia"},{"family":"Shen","given":"Min"},{"family":"Inglese","given":"James"},{"family":"Austin","given":"Christopher P."},{"family":"Lloyd","given":"David G."},{"family":"Auld","given":"Douglas S."}],"issued":{"date-parts":[["2009",11]]}}},{"id":2366,"uris":["http://zotero.org/users/9157699/items/LMNZ8D8F"],"itemData":{"id":2366,"type":"article-journal","abstract":"In the early phases of current pharmaceutical research projects, huge numbers of compounds are tested on their biological activity with respect to a certain target by experimental or virtual screening campaigns. To reduce the attrition rate in later stages of a project, other relevant properties such as physicochemical and ADMET (absorption, distribution, metabolism, excretion, toxicity) properties should be assessed as early as possible in lead discovery and optimization. The present study describes the development of in silico models to predict the inhibition of human cytochrome P450 3A4 (CYP3A4) from calculated molecular descriptors. The models were trained and validated using a set of 967 structural diverse drug-like research compounds with an experimentally determined CYP3A4 inhibition potency (IC50 value) which was carefully split into a training and a test set. For classification models, the data sets were further subdivided into strong, medium, and weak inhibitors. Different descriptor sets were used to cover various aspects of molecular properties, including properties derived from the 2D structure, the interaction of the molecule with its environment, and properties derived from quantum-mechanical calculations. The descriptors were related to the CYP3A4 inhibition potency by multivariate data analysis methods such as partial least-squares projection to latent structures (PLS), PLS discriminant analysis (PLS-DA), and soft independent class modeling (SIMCA). The squared correlation between experimental and predicted IC50 values of the previously unseen test set compounds was Qext2=0.6 for the best PLS models, corresponding to a root mean squared error (RMSE) of RMSE=0.45 (logarithm of IC50). The best PLS-DA models were able to correctly classify more than 60% of the test set compounds, whereas almost no strong inhibitors were wrongly classified as weak inhibitors and vice versa. Furthermore, relevant molecular properties were identified which are closely related to the CYP3A4 inhibition potency of a compound. The results presented here are very encouraging since our models could, for instance, serve to flag problematic compounds or to guide further synthesis efforts.","container-title":"European Journal of Pharmaceutical Sciences: Official Journal of the European Federation for Pharmaceutical Sciences","DOI":"10.1016/j.ejps.2004.12.009","ISSN":"0928-0987","issue":"5","journalAbbreviation":"Eur J Pharm Sci","language":"eng","note":"PMID: 15784335","page":"451-463","source":"PubMed","title":"Multivariate modeling of cytochrome P450 3A4 inhibition","volume":"24","author":[{"family":"Kriegl","given":"Jan M."},{"family":"Eriksson","given":"Lennart"},{"family":"Arnhold","given":"Thomas"},{"family":"Beck","given":"Bernd"},{"family":"Johansson","given":"Erik"},{"family":"Fox","given":"Thomas"}],"issued":{"date-parts":[["2005",4]]}}}],"schema":"https://github.com/citation-style-language/schema/raw/master/csl-citation.json"} </w:instrText>
      </w:r>
      <w:r w:rsidR="002C548A">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18,19</w:t>
      </w:r>
      <w:r w:rsidR="002C548A">
        <w:rPr>
          <w:rFonts w:ascii="Times New Roman" w:hAnsi="Times New Roman" w:cs="Times New Roman"/>
          <w:sz w:val="24"/>
          <w:szCs w:val="24"/>
        </w:rPr>
        <w:fldChar w:fldCharType="end"/>
      </w:r>
      <w:r w:rsidRPr="004C52D9">
        <w:rPr>
          <w:rFonts w:ascii="Times New Roman" w:hAnsi="Times New Roman" w:cs="Times New Roman"/>
          <w:sz w:val="24"/>
          <w:szCs w:val="24"/>
        </w:rPr>
        <w:t xml:space="preserve"> advancements in computing hardware, and the rapid development of deep learning (DL) architectures have strongly facilitated the development of various computational tools for predicting the inhibition potentials of CYP enzymes, particularly 1A2, 2C9, 2C19, 2D6 and 3A4.</w:t>
      </w:r>
      <w:r w:rsidR="00C24497">
        <w:rPr>
          <w:rFonts w:ascii="Times New Roman" w:hAnsi="Times New Roman" w:cs="Times New Roman"/>
          <w:sz w:val="24"/>
          <w:szCs w:val="24"/>
        </w:rPr>
        <w:fldChar w:fldCharType="begin"/>
      </w:r>
      <w:r w:rsidR="00C24497">
        <w:rPr>
          <w:rFonts w:ascii="Times New Roman" w:hAnsi="Times New Roman" w:cs="Times New Roman"/>
          <w:sz w:val="24"/>
          <w:szCs w:val="24"/>
        </w:rPr>
        <w:instrText xml:space="preserve"> ADDIN ZOTERO_ITEM CSL_CITATION {"citationID":"31YAnk1b","properties":{"formattedCitation":"\\super 15,20\\uc0\\u8211{}22\\nosupersub{}","plainCitation":"15,20–22","noteIndex":0},"citationItems":[{"id":132,"uris":["http://zotero.org/users/9157699/items/Y9RDNWCI"],"itemData":{"id":132,"type":"article-journal","abstract":"The vast majority of approved drugs are metabolized by the five major cytochrome P450 (CYP) isozymes, 1A2, 2C9, 2C19, 2D6 and 3A4. Inhibition of CYP isozymes can cause drug-drug interactions with severe pharmaco­ logical and toxicological consequences. Computational methods for the fast and reliable prediction of the inhi­ bition of CYP isozymes by small molecules are therefore of high interest and relevance to pharmaceutical companies and a host of other industries, including the cosmetics and agrochemical industries. Today, a large number of machine learning models for predicting the inhibition of the major CYP isozymes by small molecules are available. With this work we aim to go beyond the coverage of existing models, by combining data from several major public and proprietary sources. More specifically, we used up to 18815 compounds with measured bioactivities to train random forest classification models for the individual CYP isozymes. A major advantage of the new data collection over existing ones is the better representation of the minority class, the CYP inhibitors. With the new data collection we achieved inhibitor-to-non-inhibitor ratios in the order of 1:1 (CYP1A2) to 1:3 (CYP2D6). We show that our models reach competitive performance on external data, with Matthews correlation coefficients (MCCs) ranging from 0.62 (CYP2C19) to 0.70 (CYP2D6), and areas under the receiver operating characteristic curve (AUCs) between 0.89 (CYP2C19) and 0.92 (CYPs 2D6 and 3A4). Importantly, the models show a high level of robustness, reflected in a good predictivity also for compounds that are structurally dis­ similar to the compounds represented in the training data. The best models presented in this work are freely accessible for academic research via a web service.","container-title":"Bioorganic &amp; Medicinal Chemistry","DOI":"10.1016/j.bmc.2021.116388","ISSN":"09680896","journalAbbreviation":"Bioorganic &amp; Medicinal Chemistry","language":"en","page":"116388","source":"DOI.org (Crossref)","title":"CYPlebrity: Machine learning models for the prediction of inhibitors of cytochrome P450 enzymes","title-short":"CYPlebrity","volume":"46","author":[{"family":"Plonka","given":"Wojciech"},{"family":"Stork","given":"Conrad"},{"family":"Šícho","given":"Martin"},{"family":"Kirchmair","given":"Johannes"}],"issued":{"date-parts":[["2021",9]]}},"label":"page"},{"id":141,"uris":["http://zotero.org/users/9157699/items/FYYEJN3I"],"itemData":{"id":141,"type":"article-journal","container-title":"Molecular Pharmaceutics","DOI":"10.1021/acs.molpharmaceut.8b00110","ISSN":"1543-8384, 1543-8392","issue":"10","journalAbbreviation":"Mol. Pharmaceutics","language":"en","page":"4336-4345","source":"DOI.org (Crossref)","title":"Prediction of Human Cytochrome P450 Inhibition Using a Multitask Deep Autoencoder Neural Network","volume":"15","author":[{"family":"Li","given":"Xiang"},{"family":"Xu","given":"Youjun"},{"family":"Lai","given":"Luhua"},{"family":"Pei","given":"Jianfeng"}],"issued":{"date-parts":[["2018",10,1]]}}},{"id":139,"uris":["http://zotero.org/users/9157699/items/JK62YM7B"],"itemData":{"id":139,"type":"article-journal","abstract":"The cytochrome P450 (CYP) superfamily, exists in the human liver, is responsible for more than 90% of the metabolism of clinical drugs. So it is necessary to adopt a new kind of computer simulation methods that can predict the rejection capability of compounds for a concrete CYPs isoform. In this work, a model is presented for classification of CYP450 1A2 inhibitors and noninhibitors based on a multi-tiered deep belief network (DBN) on a large dataset. The dataset composed of more than 13,000 heterogeneous compounds was acquired from PubChem. Firstly, 139 2D and 53 3D descriptors are calculated and preprocessed. Then, the unsupervised learning method is used to train DBN model to automatically extract multiple levels of distributed representation from the descriptors of training set. Finally, by using testing set and external validation set, we evaluate the classified performance of DBN for the inhibition of CYP1A2. Meanwhile, the proposed model is compared with shallow machine learning models (support vector machine (SVM) and artificial neural network (ANN)). We also discussed the performance of DBN by comparing it with different features combination. The experimental results showed that DBN has a better prediction ability compared with SVM and ANN. And these models combined with the features of 2D and 3D obtain the best forecast accuracy.","container-title":"International Journal of Computational Intelligence and Applications","DOI":"10.1142/S146902681750002X","ISSN":"1469-0268, 1757-5885","issue":"01","journalAbbreviation":"Int. J. Comp. Intel. Appl.","language":"en","page":"1750002","source":"DOI.org (Crossref)","title":"Classification of Cytochrome P450 1A2 Inhibitors and Noninhibitors Based on Deep Belief Network","volume":"16","author":[{"family":"Yu","given":"Long"},{"family":"Shi","given":"Xinyu"},{"family":"Tian","given":"Shengwei"},{"family":"Gao","given":"Shuangyin"},{"family":"Li","given":"Li"}],"issued":{"date-parts":[["2017",3]]}}},{"id":136,"uris":["http://zotero.org/users/9157699/items/PXKDQBI5"],"itemData":{"id":136,"type":"article-journal","abstract":"Summary: Cytochrome P450 (CYPs) are the major enzymes involved in drug metabolism and bioactivation. Inhibition models were constructed for five of the most popular enzymes from the CYP superfamily in human liver. The five enzymes chosen for this study, namely CYP1A2, CYP2D6, CYP2C19, CYP2C9 and CYP3A4, account for 90% of the xenobiotic and drug metabolism in human body. CYP enzymes can be inhibited or induced by various drugs or chemical compounds (Lynch and Price, 2007). In this work, a rule-based CYP inhibition prediction online server, CypRules, was created based on predictive models generated by the rule-based C5.0 algorithm. CypRules can predict and provide structural rulesets for CYP inhibition for each compound uploaded to the server. Capable of fast execution performance, it can be used for virtual high-throughput screening (VHTS) of a large set of testing compounds.","container-title":"Bioinformatics","DOI":"10.1093/bioinformatics/btv043","ISSN":"1460-2059, 1367-4803","issue":"11","language":"en","page":"1869-1871","source":"DOI.org (Crossref)","title":"CypRules: a rule-based P450 inhibition prediction server","title-short":"CypRules","volume":"31","author":[{"family":"Shao","given":"Chi-Yu"},{"family":"Su","given":"Bo-Han"},{"family":"Tu","given":"Yi-Shu"},{"family":"Lin","given":"Chieh"},{"family":"Lin","given":"Olivia A."},{"family":"Tseng","given":"Yufeng J."}],"issued":{"date-parts":[["2015",6,1]]}}}],"schema":"https://github.com/citation-style-language/schema/raw/master/csl-citation.json"} </w:instrText>
      </w:r>
      <w:r w:rsidR="00C24497">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15,20–22</w:t>
      </w:r>
      <w:r w:rsidR="00C24497">
        <w:rPr>
          <w:rFonts w:ascii="Times New Roman" w:hAnsi="Times New Roman" w:cs="Times New Roman"/>
          <w:sz w:val="24"/>
          <w:szCs w:val="24"/>
        </w:rPr>
        <w:fldChar w:fldCharType="end"/>
      </w:r>
      <w:r w:rsidRPr="004C52D9">
        <w:rPr>
          <w:rFonts w:ascii="Times New Roman" w:hAnsi="Times New Roman" w:cs="Times New Roman"/>
          <w:sz w:val="24"/>
          <w:szCs w:val="24"/>
        </w:rPr>
        <w:t xml:space="preserve"> A recent review has summarized the CYP metabolism prediction tools developed since 2019, including well-known ADMET tools such as </w:t>
      </w:r>
      <w:r w:rsidRPr="00350A20">
        <w:rPr>
          <w:rFonts w:ascii="Times New Roman" w:hAnsi="Times New Roman" w:cs="Times New Roman"/>
          <w:sz w:val="24"/>
          <w:szCs w:val="24"/>
        </w:rPr>
        <w:t>HelixADMET</w:t>
      </w:r>
      <w:r w:rsidR="002C548A" w:rsidRPr="00350A20">
        <w:rPr>
          <w:rFonts w:ascii="Times New Roman" w:hAnsi="Times New Roman" w:cs="Times New Roman"/>
          <w:sz w:val="24"/>
          <w:szCs w:val="24"/>
        </w:rPr>
        <w:t>,</w:t>
      </w:r>
      <w:r w:rsidR="00C648CC" w:rsidRPr="00350A20">
        <w:rPr>
          <w:rFonts w:ascii="Times New Roman" w:hAnsi="Times New Roman" w:cs="Times New Roman"/>
          <w:sz w:val="24"/>
          <w:szCs w:val="24"/>
        </w:rPr>
        <w:fldChar w:fldCharType="begin"/>
      </w:r>
      <w:r w:rsidR="00C648CC" w:rsidRPr="00350A20">
        <w:rPr>
          <w:rFonts w:ascii="Times New Roman" w:hAnsi="Times New Roman" w:cs="Times New Roman"/>
          <w:sz w:val="24"/>
          <w:szCs w:val="24"/>
        </w:rPr>
        <w:instrText xml:space="preserve"> ADDIN ZOTERO_ITEM CSL_CITATION {"citationID":"EANloXan","properties":{"formattedCitation":"\\super 23\\nosupersub{}","plainCitation":"23","noteIndex":0},"citationItems":[{"id":1886,"uris":["http://zotero.org/users/9157699/items/AJ8RIF66"],"itemData":{"id":1886,"type":"article-journal","abstract":"Motivation: Accurate ADMET (an abbreviation for ‘absorption, distribution, metabolism, excretion and toxicity’) predictions can efﬁciently screen out undesirable drug candidates in the early stage of drug discovery. In recent years, multiple comprehensive ADMET systems that adopt advanced machine learning models have been developed, providing services to estimate multiple endpoints. However, those ADMET systems usually suffer from weak extrapolation ability. First, due to the lack of labelled data for each endpoint, typical machine learning models perform frail for the molecules with unobserved scaffolds. Second, most systems only provide ﬁxed built-in endpoints and cannot be customized to satisfy various research requirements. To this end, we develop a robust and endpoint extensible ADMET system, HelixADMET (H-ADMET). H-ADMET incorporates the concept of self-supervised learning to produce a robust pre-trained model. The model is then ﬁne-tuned with a multi-task and multi-stage framework to transfer knowledge between ADMET endpoints, auxiliary tasks and self-supervised tasks.","container-title":"Bioinformatics","DOI":"10.1093/bioinformatics/btac342","ISSN":"1367-4803, 1460-2059","issue":"13","language":"en","page":"3444-3453","source":"DOI.org (Crossref)","title":"HelixADMET: a robust and endpoint extensible ADMET system incorporating self-supervised knowledge transfer","title-short":"HelixADMET","volume":"38","author":[{"family":"Zhang","given":"Shanzhuo"},{"family":"Yan","given":"Zhiyuan"},{"family":"Huang","given":"Yueyang"},{"family":"Liu","given":"Lihang"},{"family":"He","given":"Donglong"},{"family":"Wang","given":"Wei"},{"family":"Fang","given":"Xiaomin"},{"family":"Zhang","given":"Xiaonan"},{"family":"Wang","given":"Fan"},{"family":"Wu","given":"Hua"},{"family":"Wang","given":"Haifeng"}],"editor":[{"family":"Wren","given":"Jonathan"}],"issued":{"date-parts":[["2022",6,27]]}}}],"schema":"https://github.com/citation-style-language/schema/raw/master/csl-citation.json"} </w:instrText>
      </w:r>
      <w:r w:rsidR="00C648CC" w:rsidRPr="00350A20">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23</w:t>
      </w:r>
      <w:r w:rsidR="00C648CC" w:rsidRPr="00350A20">
        <w:rPr>
          <w:rFonts w:ascii="Times New Roman" w:hAnsi="Times New Roman" w:cs="Times New Roman"/>
          <w:sz w:val="24"/>
          <w:szCs w:val="24"/>
        </w:rPr>
        <w:fldChar w:fldCharType="end"/>
      </w:r>
      <w:r w:rsidRPr="00350A20">
        <w:rPr>
          <w:rFonts w:ascii="Times New Roman" w:hAnsi="Times New Roman" w:cs="Times New Roman"/>
          <w:sz w:val="24"/>
          <w:szCs w:val="24"/>
        </w:rPr>
        <w:t xml:space="preserve"> </w:t>
      </w:r>
      <w:proofErr w:type="spellStart"/>
      <w:r w:rsidRPr="00350A20">
        <w:rPr>
          <w:rFonts w:ascii="Times New Roman" w:hAnsi="Times New Roman" w:cs="Times New Roman"/>
          <w:sz w:val="24"/>
          <w:szCs w:val="24"/>
        </w:rPr>
        <w:t>ADMETLab</w:t>
      </w:r>
      <w:proofErr w:type="spellEnd"/>
      <w:r w:rsidRPr="00350A20">
        <w:rPr>
          <w:rFonts w:ascii="Times New Roman" w:hAnsi="Times New Roman" w:cs="Times New Roman"/>
          <w:sz w:val="24"/>
          <w:szCs w:val="24"/>
        </w:rPr>
        <w:t xml:space="preserve"> 2.0</w:t>
      </w:r>
      <w:r w:rsidR="002C548A" w:rsidRPr="00350A20">
        <w:rPr>
          <w:rFonts w:ascii="Times New Roman" w:hAnsi="Times New Roman" w:cs="Times New Roman"/>
          <w:sz w:val="24"/>
          <w:szCs w:val="24"/>
        </w:rPr>
        <w:t>,</w:t>
      </w:r>
      <w:r w:rsidR="00C648CC" w:rsidRPr="00350A20">
        <w:rPr>
          <w:rFonts w:ascii="Times New Roman" w:hAnsi="Times New Roman" w:cs="Times New Roman"/>
          <w:sz w:val="24"/>
          <w:szCs w:val="24"/>
        </w:rPr>
        <w:fldChar w:fldCharType="begin"/>
      </w:r>
      <w:r w:rsidR="00C648CC" w:rsidRPr="00350A20">
        <w:rPr>
          <w:rFonts w:ascii="Times New Roman" w:hAnsi="Times New Roman" w:cs="Times New Roman"/>
          <w:sz w:val="24"/>
          <w:szCs w:val="24"/>
        </w:rPr>
        <w:instrText xml:space="preserve"> ADDIN ZOTERO_ITEM CSL_CITATION {"citationID":"mrpWBRUc","properties":{"formattedCitation":"\\super 24\\nosupersub{}","plainCitation":"24","noteIndex":0},"citationItems":[{"id":152,"uris":["http://zotero.org/users/9157699/items/G3APXCMH"],"itemData":{"id":152,"type":"article-journal","abstract":"Abstract\n            Because undesirable pharmacokinetics and toxicity of candidate compounds are the main reasons for the failure of drug development, it has been widely recognized that absorption, distribution, metabolism, excretion and toxicity (ADMET) should be evaluated as early as possible. In silico ADMET evaluation models have been developed as an additional tool to assist medicinal chemists in the design and optimization of leads. Here, we announced the release of ADMETlab 2.0, a completely redesigned version of the widely used AMDETlab web server for the predictions of pharmacokinetics and toxicity properties of chemicals, of which the supported ADMET-related endpoints are approximately twice the number of the endpoints in the previous version, including 17 physicochemical properties, 13 medicinal chemistry properties, 23 ADME properties, 27 toxicity endpoints and 8 toxicophore rules (751 substructures). A multi-task graph attention framework was employed to develop the robust and accurate models in ADMETlab 2.0. The batch computation module was provided in response to numerous requests from users, and the representation of the results was further optimized. The ADMETlab 2.0 server is freely available, without registration, at https://admetmesh.scbdd.com/.","container-title":"Nucleic Acids Research","DOI":"10.1093/nar/gkab255","ISSN":"0305-1048, 1362-4962","issue":"W1","language":"en","page":"W5-W14","source":"DOI.org (Crossref)","title":"ADMETlab 2.0: an integrated online platform for accurate and comprehensive predictions of ADMET properties","title-short":"ADMETlab 2.0","volume":"49","author":[{"family":"Xiong","given":"Guoli"},{"family":"Wu","given":"Zhenxing"},{"family":"Yi","given":"Jiacai"},{"family":"Fu","given":"Li"},{"family":"Yang","given":"Zhijiang"},{"family":"Hsieh","given":"Changyu"},{"family":"Yin","given":"Mingzhu"},{"family":"Zeng","given":"Xiangxiang"},{"family":"Wu","given":"Chengkun"},{"family":"Lu","given":"Aiping"},{"family":"Chen","given":"Xiang"},{"family":"Hou","given":"Tingjun"},{"family":"Cao","given":"Dongsheng"}],"issued":{"date-parts":[["2021",7,2]]}}}],"schema":"https://github.com/citation-style-language/schema/raw/master/csl-citation.json"} </w:instrText>
      </w:r>
      <w:r w:rsidR="00C648CC" w:rsidRPr="00350A20">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24</w:t>
      </w:r>
      <w:r w:rsidR="00C648CC" w:rsidRPr="00350A20">
        <w:rPr>
          <w:rFonts w:ascii="Times New Roman" w:hAnsi="Times New Roman" w:cs="Times New Roman"/>
          <w:sz w:val="24"/>
          <w:szCs w:val="24"/>
        </w:rPr>
        <w:fldChar w:fldCharType="end"/>
      </w:r>
      <w:r w:rsidRPr="00350A20">
        <w:rPr>
          <w:rFonts w:ascii="Times New Roman" w:hAnsi="Times New Roman" w:cs="Times New Roman"/>
          <w:sz w:val="24"/>
          <w:szCs w:val="24"/>
        </w:rPr>
        <w:t xml:space="preserve"> Interpretable-ADMET</w:t>
      </w:r>
      <w:r w:rsidR="002C548A" w:rsidRPr="00350A20">
        <w:rPr>
          <w:rFonts w:ascii="Times New Roman" w:hAnsi="Times New Roman" w:cs="Times New Roman"/>
          <w:sz w:val="24"/>
          <w:szCs w:val="24"/>
        </w:rPr>
        <w:t>,</w:t>
      </w:r>
      <w:r w:rsidR="00C648CC" w:rsidRPr="00350A20">
        <w:rPr>
          <w:rFonts w:ascii="Times New Roman" w:hAnsi="Times New Roman" w:cs="Times New Roman"/>
          <w:sz w:val="24"/>
          <w:szCs w:val="24"/>
        </w:rPr>
        <w:fldChar w:fldCharType="begin"/>
      </w:r>
      <w:r w:rsidR="00C648CC" w:rsidRPr="00350A20">
        <w:rPr>
          <w:rFonts w:ascii="Times New Roman" w:hAnsi="Times New Roman" w:cs="Times New Roman"/>
          <w:sz w:val="24"/>
          <w:szCs w:val="24"/>
        </w:rPr>
        <w:instrText xml:space="preserve"> ADDIN ZOTERO_ITEM CSL_CITATION {"citationID":"6uEK1naK","properties":{"formattedCitation":"\\super 25\\nosupersub{}","plainCitation":"25","noteIndex":0},"citationItems":[{"id":770,"uris":["http://zotero.org/users/9157699/items/QMYEHY3E"],"itemData":{"id":770,"type":"article-journal","abstract":"Motivation: In the process of discovery and optimization of lead compounds, it is difﬁcult for non-expert pharmacologists to intuitively determine the contribution of substructure to a particular property of a molecule. Results: In this work, we develop a user-friendly web service, named interpretable-absorption, distribution, metabolism, excretion and toxicity (ADMET), which predict 59 ADMET-associated properties using 90 qualitative classiﬁcation models and 28 quantitative regression models based on graph convolutional neural network and graph attention network algorithms. In interpretable-ADMET, there are 250 729 entries associated with 59 kinds of ADMETassociated properties for 80 167 chemical compounds. In addition to making predictions, interpretable-ADMET provides interpretation models based on gradient-weighted class activation map for identifying the substructure, which is important to the particular property. Interpretable-ADMET also provides an optimize module to automatically generate a set of novel virtual candidates based on matched molecular pair rules. We believe that interpretable-ADMET could serve as a useful tool for lead optimization in drug discovery.","container-title":"Bioinformatics","DOI":"10.1093/bioinformatics/btac192","ISSN":"1367-4803, 1460-2059","issue":"10","language":"en","page":"2863-2871","source":"DOI.org (Crossref)","title":"Interpretable-ADMET: a web service for ADMET prediction and optimization based on deep neural representation","title-short":"Interpretable-ADMET","volume":"38","author":[{"family":"Wei","given":"Yu"},{"family":"Li","given":"Shanshan"},{"family":"Li","given":"Zhonglin"},{"family":"Wan","given":"Ziwei"},{"family":"Lin","given":"Jianping"}],"editor":[{"family":"Wren","given":"Jonathan"}],"issued":{"date-parts":[["2022",5,13]]}}}],"schema":"https://github.com/citation-style-language/schema/raw/master/csl-citation.json"} </w:instrText>
      </w:r>
      <w:r w:rsidR="00C648CC" w:rsidRPr="00350A20">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25</w:t>
      </w:r>
      <w:r w:rsidR="00C648CC" w:rsidRPr="00350A20">
        <w:rPr>
          <w:rFonts w:ascii="Times New Roman" w:hAnsi="Times New Roman" w:cs="Times New Roman"/>
          <w:sz w:val="24"/>
          <w:szCs w:val="24"/>
        </w:rPr>
        <w:fldChar w:fldCharType="end"/>
      </w:r>
      <w:r w:rsidRPr="00350A20">
        <w:rPr>
          <w:rFonts w:ascii="Times New Roman" w:hAnsi="Times New Roman" w:cs="Times New Roman"/>
          <w:sz w:val="24"/>
          <w:szCs w:val="24"/>
        </w:rPr>
        <w:t xml:space="preserve"> FP-ADMET</w:t>
      </w:r>
      <w:r w:rsidR="002C548A" w:rsidRPr="00350A20">
        <w:rPr>
          <w:rFonts w:ascii="Times New Roman" w:hAnsi="Times New Roman" w:cs="Times New Roman"/>
          <w:sz w:val="24"/>
          <w:szCs w:val="24"/>
        </w:rPr>
        <w:t>,</w:t>
      </w:r>
      <w:r w:rsidR="00C648CC" w:rsidRPr="00350A20">
        <w:rPr>
          <w:rFonts w:ascii="Times New Roman" w:hAnsi="Times New Roman" w:cs="Times New Roman"/>
          <w:sz w:val="24"/>
          <w:szCs w:val="24"/>
        </w:rPr>
        <w:fldChar w:fldCharType="begin"/>
      </w:r>
      <w:r w:rsidR="00C648CC" w:rsidRPr="00350A20">
        <w:rPr>
          <w:rFonts w:ascii="Times New Roman" w:hAnsi="Times New Roman" w:cs="Times New Roman"/>
          <w:sz w:val="24"/>
          <w:szCs w:val="24"/>
        </w:rPr>
        <w:instrText xml:space="preserve"> ADDIN ZOTERO_ITEM CSL_CITATION {"citationID":"f9BsQR1z","properties":{"formattedCitation":"\\super 26\\nosupersub{}","plainCitation":"26","noteIndex":0},"citationItems":[{"id":2374,"uris":["http://zotero.org/users/9157699/items/A6M3AJI7"],"itemData":{"id":2374,"type":"article-journal","abstract":"MOTIVATION: The absorption, distribution, metabolism, excretion, and toxicity (ADMET) of drugs plays a key role in determining which among the potential candidates are to be prioritized. In silico approaches based on machine learning methods are becoming increasing popular, but are nonetheless limited by the availability of data. With a view to making both data and models available to the scientific community, we have developed FPADMET which is a repository of molecular fingerprint-based predictive models for ADMET properties. In this article, we have examined the efficacy of fingerprint-based machine learning models for a large number of ADMET-related properties. The predictive ability of a set of 20 different binary fingerprints (based on substructure keys, atom pairs, local path environments, as well as custom fingerprints such as all-shortest paths) for over 50 ADMET and ADMET-related endpoints have been evaluated as part of the study. We find that for a majority of the properties, fingerprint-based random forest models yield comparable or better performance compared with traditional 2D/3D molecular descriptors.\nAVAILABILITY: The models are made available as part of open access software that can be downloaded from https://gitlab.com/vishsoft/fpadmet .","container-title":"Journal of Cheminformatics","DOI":"10.1186/s13321-021-00557-5","ISSN":"1758-2946","issue":"1","journalAbbreviation":"J Cheminform","language":"eng","note":"PMID: 34583740\nPMCID: PMC8479898","page":"75","source":"PubMed","title":"FP-ADMET: a compendium of fingerprint-based ADMET prediction models","title-short":"FP-ADMET","volume":"13","author":[{"family":"Venkatraman","given":"Vishwesh"}],"issued":{"date-parts":[["2021",9,28]]}}}],"schema":"https://github.com/citation-style-language/schema/raw/master/csl-citation.json"} </w:instrText>
      </w:r>
      <w:r w:rsidR="00C648CC" w:rsidRPr="00350A20">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26</w:t>
      </w:r>
      <w:r w:rsidR="00C648CC" w:rsidRPr="00350A20">
        <w:rPr>
          <w:rFonts w:ascii="Times New Roman" w:hAnsi="Times New Roman" w:cs="Times New Roman"/>
          <w:sz w:val="24"/>
          <w:szCs w:val="24"/>
        </w:rPr>
        <w:fldChar w:fldCharType="end"/>
      </w:r>
      <w:r w:rsidRPr="00350A20">
        <w:rPr>
          <w:rFonts w:ascii="Times New Roman" w:hAnsi="Times New Roman" w:cs="Times New Roman"/>
          <w:sz w:val="24"/>
          <w:szCs w:val="24"/>
        </w:rPr>
        <w:t xml:space="preserve"> and </w:t>
      </w:r>
      <w:proofErr w:type="spellStart"/>
      <w:r w:rsidRPr="00350A20">
        <w:rPr>
          <w:rFonts w:ascii="Times New Roman" w:hAnsi="Times New Roman" w:cs="Times New Roman"/>
          <w:sz w:val="24"/>
          <w:szCs w:val="24"/>
        </w:rPr>
        <w:t>admetSAR</w:t>
      </w:r>
      <w:proofErr w:type="spellEnd"/>
      <w:r w:rsidRPr="00350A20">
        <w:rPr>
          <w:rFonts w:ascii="Times New Roman" w:hAnsi="Times New Roman" w:cs="Times New Roman"/>
          <w:sz w:val="24"/>
          <w:szCs w:val="24"/>
        </w:rPr>
        <w:t xml:space="preserve"> 2.0</w:t>
      </w:r>
      <w:r w:rsidR="002C548A" w:rsidRPr="00350A20">
        <w:rPr>
          <w:rFonts w:ascii="Times New Roman" w:hAnsi="Times New Roman" w:cs="Times New Roman"/>
          <w:sz w:val="24"/>
          <w:szCs w:val="24"/>
        </w:rPr>
        <w:t>,</w:t>
      </w:r>
      <w:r w:rsidR="00C648CC" w:rsidRPr="00350A20">
        <w:rPr>
          <w:rFonts w:ascii="Times New Roman" w:hAnsi="Times New Roman" w:cs="Times New Roman"/>
          <w:sz w:val="24"/>
          <w:szCs w:val="24"/>
        </w:rPr>
        <w:fldChar w:fldCharType="begin"/>
      </w:r>
      <w:r w:rsidR="00C648CC" w:rsidRPr="00350A20">
        <w:rPr>
          <w:rFonts w:ascii="Times New Roman" w:hAnsi="Times New Roman" w:cs="Times New Roman"/>
          <w:sz w:val="24"/>
          <w:szCs w:val="24"/>
        </w:rPr>
        <w:instrText xml:space="preserve"> ADDIN ZOTERO_ITEM CSL_CITATION {"citationID":"E9hwOhJx","properties":{"formattedCitation":"\\super 27\\nosupersub{}","plainCitation":"27","noteIndex":0},"citationItems":[{"id":2377,"uris":["http://zotero.org/users/9157699/items/C63KFQA2"],"itemData":{"id":2377,"type":"article-journal","abstract":"SUMMARY: admetSAR was developed as a comprehensive source and free tool for the prediction of chemical ADMET properties. Since its first release in 2012 containing 27 predictive models, admetSAR has been widely used in chemical and pharmaceutical fields. This update, admetSAR 2.0, focuses on extension and optimization of existing models with significant quantity and quality improvement on training data. Now 47 models are available for either drug discovery or environmental risk assessment. In addition, we added a new module named ADMETopt for lead optimization based on predicted ADMET properties.\nAVAILABILITY AND IMPLEMENTATION: Free available on the web at http://lmmd.ecust.edu.cn/admetsar2/.\nSUPPLEMENTARY INFORMATION: Supplementary data are available at Bioinformatics online.","container-title":"Bioinformatics (Oxford, England)","DOI":"10.1093/bioinformatics/bty707","ISSN":"1367-4811","issue":"6","journalAbbreviation":"Bioinformatics","language":"eng","note":"PMID: 30165565","page":"1067-1069","source":"PubMed","title":"admetSAR 2.0: web-service for prediction and optimization of chemical ADMET properties","title-short":"admetSAR 2.0","volume":"35","author":[{"family":"Yang","given":"Hongbin"},{"family":"Lou","given":"Chaofeng"},{"family":"Sun","given":"Lixia"},{"family":"Li","given":"Jie"},{"family":"Cai","given":"Yingchun"},{"family":"Wang","given":"Zhuang"},{"family":"Li","given":"Weihua"},{"family":"Liu","given":"Guixia"},{"family":"Tang","given":"Yun"}],"issued":{"date-parts":[["2019",3,15]]}}}],"schema":"https://github.com/citation-style-language/schema/raw/master/csl-citation.json"} </w:instrText>
      </w:r>
      <w:r w:rsidR="00C648CC" w:rsidRPr="00350A20">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27</w:t>
      </w:r>
      <w:r w:rsidR="00C648CC" w:rsidRPr="00350A20">
        <w:rPr>
          <w:rFonts w:ascii="Times New Roman" w:hAnsi="Times New Roman" w:cs="Times New Roman"/>
          <w:sz w:val="24"/>
          <w:szCs w:val="24"/>
        </w:rPr>
        <w:fldChar w:fldCharType="end"/>
      </w:r>
      <w:r w:rsidRPr="00350A20">
        <w:rPr>
          <w:rFonts w:ascii="Times New Roman" w:hAnsi="Times New Roman" w:cs="Times New Roman"/>
          <w:sz w:val="24"/>
          <w:szCs w:val="24"/>
        </w:rPr>
        <w:t xml:space="preserve"> as well as specialized prediction tools for CYPs, such as DeepCYP</w:t>
      </w:r>
      <w:r w:rsidR="002C548A" w:rsidRPr="00350A20">
        <w:rPr>
          <w:rFonts w:ascii="Times New Roman" w:hAnsi="Times New Roman" w:cs="Times New Roman"/>
          <w:sz w:val="24"/>
          <w:szCs w:val="24"/>
        </w:rPr>
        <w:t>,</w:t>
      </w:r>
      <w:r w:rsidR="00C648CC" w:rsidRPr="00350A20">
        <w:rPr>
          <w:rFonts w:ascii="Times New Roman" w:hAnsi="Times New Roman" w:cs="Times New Roman"/>
          <w:sz w:val="24"/>
          <w:szCs w:val="24"/>
        </w:rPr>
        <w:fldChar w:fldCharType="begin"/>
      </w:r>
      <w:r w:rsidR="00C648CC" w:rsidRPr="00350A20">
        <w:rPr>
          <w:rFonts w:ascii="Times New Roman" w:hAnsi="Times New Roman" w:cs="Times New Roman"/>
          <w:sz w:val="24"/>
          <w:szCs w:val="24"/>
        </w:rPr>
        <w:instrText xml:space="preserve"> ADDIN ZOTERO_ITEM CSL_CITATION {"citationID":"K3r7Qayk","properties":{"formattedCitation":"\\super 20\\nosupersub{}","plainCitation":"20","noteIndex":0},"citationItems":[{"id":141,"uris":["http://zotero.org/users/9157699/items/FYYEJN3I"],"itemData":{"id":141,"type":"article-journal","container-title":"Molecular Pharmaceutics","DOI":"10.1021/acs.molpharmaceut.8b00110","ISSN":"1543-8384, 1543-8392","issue":"10","journalAbbreviation":"Mol. Pharmaceutics","language":"en","page":"4336-4345","source":"DOI.org (Crossref)","title":"Prediction of Human Cytochrome P450 Inhibition Using a Multitask Deep Autoencoder Neural Network","volume":"15","author":[{"family":"Li","given":"Xiang"},{"family":"Xu","given":"Youjun"},{"family":"Lai","given":"Luhua"},{"family":"Pei","given":"Jianfeng"}],"issued":{"date-parts":[["2018",10,1]]}}}],"schema":"https://github.com/citation-style-language/schema/raw/master/csl-citation.json"} </w:instrText>
      </w:r>
      <w:r w:rsidR="00C648CC" w:rsidRPr="00350A20">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20</w:t>
      </w:r>
      <w:r w:rsidR="00C648CC" w:rsidRPr="00350A20">
        <w:rPr>
          <w:rFonts w:ascii="Times New Roman" w:hAnsi="Times New Roman" w:cs="Times New Roman"/>
          <w:sz w:val="24"/>
          <w:szCs w:val="24"/>
        </w:rPr>
        <w:fldChar w:fldCharType="end"/>
      </w:r>
      <w:r w:rsidRPr="00350A20">
        <w:rPr>
          <w:rFonts w:ascii="Times New Roman" w:hAnsi="Times New Roman" w:cs="Times New Roman"/>
          <w:sz w:val="24"/>
          <w:szCs w:val="24"/>
        </w:rPr>
        <w:t xml:space="preserve"> CYPlebrity</w:t>
      </w:r>
      <w:r w:rsidR="002C548A" w:rsidRPr="00350A20">
        <w:rPr>
          <w:rFonts w:ascii="Times New Roman" w:hAnsi="Times New Roman" w:cs="Times New Roman"/>
          <w:sz w:val="24"/>
          <w:szCs w:val="24"/>
        </w:rPr>
        <w:t>,</w:t>
      </w:r>
      <w:r w:rsidR="00C648CC" w:rsidRPr="00350A20">
        <w:rPr>
          <w:rFonts w:ascii="Times New Roman" w:hAnsi="Times New Roman" w:cs="Times New Roman"/>
          <w:sz w:val="24"/>
          <w:szCs w:val="24"/>
        </w:rPr>
        <w:fldChar w:fldCharType="begin"/>
      </w:r>
      <w:r w:rsidR="00350A20" w:rsidRPr="00350A20">
        <w:rPr>
          <w:rFonts w:ascii="Times New Roman" w:hAnsi="Times New Roman" w:cs="Times New Roman"/>
          <w:sz w:val="24"/>
          <w:szCs w:val="24"/>
        </w:rPr>
        <w:instrText xml:space="preserve"> ADDIN ZOTERO_ITEM CSL_CITATION {"citationID":"pFDStbPC","properties":{"formattedCitation":"\\super 15\\nosupersub{}","plainCitation":"15","noteIndex":0},"citationItems":[{"id":132,"uris":["http://zotero.org/users/9157699/items/Y9RDNWCI"],"itemData":{"id":132,"type":"article-journal","abstract":"The vast majority of approved drugs are metabolized by the five major cytochrome P450 (CYP) isozymes, 1A2, 2C9, 2C19, 2D6 and 3A4. Inhibition of CYP isozymes can cause drug-drug interactions with severe pharmaco­ logical and toxicological consequences. Computational methods for the fast and reliable prediction of the inhi­ bition of CYP isozymes by small molecules are therefore of high interest and relevance to pharmaceutical companies and a host of other industries, including the cosmetics and agrochemical industries. Today, a large number of machine learning models for predicting the inhibition of the major CYP isozymes by small molecules are available. With this work we aim to go beyond the coverage of existing models, by combining data from several major public and proprietary sources. More specifically, we used up to 18815 compounds with measured bioactivities to train random forest classification models for the individual CYP isozymes. A major advantage of the new data collection over existing ones is the better representation of the minority class, the CYP inhibitors. With the new data collection we achieved inhibitor-to-non-inhibitor ratios in the order of 1:1 (CYP1A2) to 1:3 (CYP2D6). We show that our models reach competitive performance on external data, with Matthews correlation coefficients (MCCs) ranging from 0.62 (CYP2C19) to 0.70 (CYP2D6), and areas under the receiver operating characteristic curve (AUCs) between 0.89 (CYP2C19) and 0.92 (CYPs 2D6 and 3A4). Importantly, the models show a high level of robustness, reflected in a good predictivity also for compounds that are structurally dis­ similar to the compounds represented in the training data. The best models presented in this work are freely accessible for academic research via a web service.","container-title":"Bioorganic &amp; Medicinal Chemistry","DOI":"10.1016/j.bmc.2021.116388","ISSN":"09680896","journalAbbreviation":"Bioorganic &amp; Medicinal Chemistry","language":"en","page":"116388","source":"DOI.org (Crossref)","title":"CYPlebrity: Machine learning models for the prediction of inhibitors of cytochrome P450 enzymes","title-short":"CYPlebrity","volume":"46","author":[{"family":"Plonka","given":"Wojciech"},{"family":"Stork","given":"Conrad"},{"family":"Šícho","given":"Martin"},{"family":"Kirchmair","given":"Johannes"}],"issued":{"date-parts":[["2021",9]]}}}],"schema":"https://github.com/citation-style-language/schema/raw/master/csl-citation.json"} </w:instrText>
      </w:r>
      <w:r w:rsidR="00C648CC" w:rsidRPr="00350A20">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15</w:t>
      </w:r>
      <w:r w:rsidR="00C648CC" w:rsidRPr="00350A20">
        <w:rPr>
          <w:rFonts w:ascii="Times New Roman" w:hAnsi="Times New Roman" w:cs="Times New Roman"/>
          <w:sz w:val="24"/>
          <w:szCs w:val="24"/>
        </w:rPr>
        <w:fldChar w:fldCharType="end"/>
      </w:r>
      <w:r w:rsidRPr="00350A20">
        <w:rPr>
          <w:rFonts w:ascii="Times New Roman" w:hAnsi="Times New Roman" w:cs="Times New Roman"/>
          <w:sz w:val="24"/>
          <w:szCs w:val="24"/>
        </w:rPr>
        <w:t xml:space="preserve"> SuperCYPsPred</w:t>
      </w:r>
      <w:r w:rsidR="002C548A" w:rsidRPr="00350A20">
        <w:rPr>
          <w:rFonts w:ascii="Times New Roman" w:hAnsi="Times New Roman" w:cs="Times New Roman"/>
          <w:sz w:val="24"/>
          <w:szCs w:val="24"/>
        </w:rPr>
        <w:t>,</w:t>
      </w:r>
      <w:r w:rsidR="00350A20" w:rsidRPr="00350A20">
        <w:rPr>
          <w:rFonts w:ascii="Times New Roman" w:hAnsi="Times New Roman" w:cs="Times New Roman"/>
          <w:sz w:val="24"/>
          <w:szCs w:val="24"/>
        </w:rPr>
        <w:fldChar w:fldCharType="begin"/>
      </w:r>
      <w:r w:rsidR="00350A20" w:rsidRPr="00350A20">
        <w:rPr>
          <w:rFonts w:ascii="Times New Roman" w:hAnsi="Times New Roman" w:cs="Times New Roman"/>
          <w:sz w:val="24"/>
          <w:szCs w:val="24"/>
        </w:rPr>
        <w:instrText xml:space="preserve"> ADDIN ZOTERO_ITEM CSL_CITATION {"citationID":"WFUGKZpn","properties":{"formattedCitation":"\\super 28\\nosupersub{}","plainCitation":"28","noteIndex":0},"citationItems":[{"id":131,"uris":["http://zotero.org/users/9157699/items/EGSBR6XY"],"itemData":{"id":131,"type":"article-journal","abstract":"Cytochrome P450 enzymes (CYPs)-mediated drug metabolism inﬂuences drug pharmacokinetics and results in adverse outcomes in patients through drug–drug interactions (DDIs). Absorption, distribution, metabolism, excretion and toxicity (ADMET) issues are the leading causes for the failure of a drug in the clinical trials. As details on their metabolism are known for just half of the approved drugs, a tool for reliable prediction of CYPs speciﬁcity is needed. The SuperCYPsPred web server is currently focused on ﬁve major CYPs isoenzymes, which includes CYP1A2, CYP2C19, CYP2D6, CYP2C9 and CYP3A4 that are responsible for more than 80% of the metabolism of clinical drugs. The prediction models for classiﬁcation of the CYPs inhibition are based on well-established machine learning methods. The models were validated both on cross-validation and external validation sets and achieved good performance. The web server takes a 2D chemical structure as input and reports the CYP inhibition proﬁle of the chemical for 10 models using different molecular ﬁngerprints, along with conﬁdence scores, similar compounds, known CYPs information of drugs––published in literature, detailed interaction proﬁle of individual cytochromes including a DDIs table and an overall CYPs prediction radar chart (http://insilico-cyp. charite.de/SuperCYPsPred/).The web server does not require log in or registration and is free to use.","container-title":"Nucleic Acids Research","DOI":"10.1093/nar/gkaa166","ISSN":"0305-1048, 1362-4962","issue":"W1","language":"en","page":"W580-W585","source":"DOI.org (Crossref)","title":"SuperCYPsPred—a web server for the prediction of cytochrome activity","volume":"48","author":[{"family":"Banerjee","given":"Priyanka"},{"family":"Dunkel","given":"Mathias"},{"family":"Kemmler","given":"Emanuel"},{"family":"Preissner","given":"Robert"}],"issued":{"date-parts":[["2020",7,2]]}}}],"schema":"https://github.com/citation-style-language/schema/raw/master/csl-citation.json"} </w:instrText>
      </w:r>
      <w:r w:rsidR="00350A20" w:rsidRPr="00350A20">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28</w:t>
      </w:r>
      <w:r w:rsidR="00350A20" w:rsidRPr="00350A20">
        <w:rPr>
          <w:rFonts w:ascii="Times New Roman" w:hAnsi="Times New Roman" w:cs="Times New Roman"/>
          <w:sz w:val="24"/>
          <w:szCs w:val="24"/>
        </w:rPr>
        <w:fldChar w:fldCharType="end"/>
      </w:r>
      <w:r w:rsidRPr="00350A20">
        <w:rPr>
          <w:rFonts w:ascii="Times New Roman" w:hAnsi="Times New Roman" w:cs="Times New Roman"/>
          <w:sz w:val="24"/>
          <w:szCs w:val="24"/>
        </w:rPr>
        <w:t xml:space="preserve"> and iCYP-MFE</w:t>
      </w:r>
      <w:r w:rsidR="002C548A" w:rsidRPr="00350A20">
        <w:rPr>
          <w:rFonts w:ascii="Times New Roman" w:hAnsi="Times New Roman" w:cs="Times New Roman"/>
          <w:sz w:val="24"/>
          <w:szCs w:val="24"/>
        </w:rPr>
        <w:t>.</w:t>
      </w:r>
      <w:r w:rsidR="00350A20" w:rsidRPr="00350A20">
        <w:rPr>
          <w:rFonts w:ascii="Times New Roman" w:hAnsi="Times New Roman" w:cs="Times New Roman"/>
          <w:sz w:val="24"/>
          <w:szCs w:val="24"/>
        </w:rPr>
        <w:fldChar w:fldCharType="begin"/>
      </w:r>
      <w:r w:rsidR="00350A20" w:rsidRPr="00350A20">
        <w:rPr>
          <w:rFonts w:ascii="Times New Roman" w:hAnsi="Times New Roman" w:cs="Times New Roman"/>
          <w:sz w:val="24"/>
          <w:szCs w:val="24"/>
        </w:rPr>
        <w:instrText xml:space="preserve"> ADDIN ZOTERO_ITEM CSL_CITATION {"citationID":"tsciNPo0","properties":{"formattedCitation":"\\super 29\\nosupersub{}","plainCitation":"29","noteIndex":0},"citationItems":[{"id":117,"uris":["http://zotero.org/users/9157699/items/H74Z7YVJ"],"itemData":{"id":117,"type":"article-journal","abstract":"The human cytochrome P450 (CYP) superfamily holds responsibilities for the metabolism of both endogenous and exogenous compounds such as drugs, cellular metabolites, and toxins. The inhibition exerted on the CYP enzymes is closely associated with adverse drug reactions encompassing metabolic failures and induced side eﬀects. In modern drug discovery, identiﬁcation of potential CYP inhibitors is, therefore, highly essential. Alongside experimental approaches, numerous computational models have been proposed to address this biochemical issue. In this study, we introduce iCYP-MFE, a computational framework for virtual screening on CYP inhibitors toward 1A2, 2C9, 2C19, 2D6, and 3A4 isoforms. iCYP-MFE contains a set of ﬁve robust, stable, and eﬀective prediction models developed using multitask learning incorporated with molecular ﬁngerprint-embedded features. The results show that multitask learning can remarkably leverage useful information from related tasks to promote global performance. Comparative analysis indicates that iCYP-MFE achieves three predominant tasks, one equivalent task, and one less eﬀective task compared to state-of-the-art methods. The area under the receiver operating characteristic curve (AUC-ROC) and the area under the precision-recall curve (AUC-PR) were two decisive metrics used for model evaluation. The prediction task for CYP2D6inhibition achieves the highest AUC-ROC value of 0.93 while the prediction task for CYP1A2-inhibition obtains the highest AUCPR value of 0.92. The substructural analysis preliminarily explains the nature of the CYP-inhibitory activity of compounds. An online web server for iCYP-MFE with a user-friendly interface was also deployed to support scientiﬁc communities in identifying CYP inhibitors.","container-title":"Journal of Chemical Information and Modeling","DOI":"10.1021/acs.jcim.1c00628","ISSN":"1549-9596, 1549-960X","journalAbbreviation":"J. Chem. Inf. Model.","language":"en","page":"acs.jcim.1c00628","source":"DOI.org (Crossref)","title":"iCYP-MFE: Identifying Human Cytochrome P450 Inhibitors Using Multitask Learning and Molecular Fingerprint-Embedded Encoding","title-short":"iCYP-MFE","author":[{"family":"Nguyen-Vo","given":"Thanh-Hoang"},{"family":"Trinh","given":"Quang H."},{"family":"Nguyen","given":"Loc"},{"family":"Nguyen-Hoang","given":"Phuong-Uyen"},{"family":"Nguyen","given":"Thien-Ngan"},{"family":"Nguyen","given":"Dung T."},{"family":"Nguyen","given":"Binh P."},{"family":"Le","given":"Ly"}],"issued":{"date-parts":[["2021",10,21]]}}}],"schema":"https://github.com/citation-style-language/schema/raw/master/csl-citation.json"} </w:instrText>
      </w:r>
      <w:r w:rsidR="00350A20" w:rsidRPr="00350A20">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29</w:t>
      </w:r>
      <w:r w:rsidR="00350A20" w:rsidRPr="00350A20">
        <w:rPr>
          <w:rFonts w:ascii="Times New Roman" w:hAnsi="Times New Roman" w:cs="Times New Roman"/>
          <w:sz w:val="24"/>
          <w:szCs w:val="24"/>
        </w:rPr>
        <w:fldChar w:fldCharType="end"/>
      </w:r>
      <w:r w:rsidRPr="00350A20">
        <w:rPr>
          <w:rFonts w:ascii="Times New Roman" w:hAnsi="Times New Roman" w:cs="Times New Roman"/>
          <w:sz w:val="24"/>
          <w:szCs w:val="24"/>
        </w:rPr>
        <w:t xml:space="preserve"> </w:t>
      </w:r>
      <w:r w:rsidR="008C139C">
        <w:rPr>
          <w:rFonts w:ascii="Times New Roman" w:hAnsi="Times New Roman" w:cs="Times New Roman"/>
          <w:sz w:val="24"/>
          <w:szCs w:val="24"/>
        </w:rPr>
        <w:lastRenderedPageBreak/>
        <w:t>However,</w:t>
      </w:r>
      <w:r w:rsidR="008C139C" w:rsidRPr="004C52D9">
        <w:rPr>
          <w:rFonts w:ascii="Times New Roman" w:hAnsi="Times New Roman" w:cs="Times New Roman"/>
          <w:sz w:val="24"/>
          <w:szCs w:val="24"/>
        </w:rPr>
        <w:t xml:space="preserve"> </w:t>
      </w:r>
      <w:r w:rsidR="008C139C">
        <w:rPr>
          <w:rFonts w:ascii="Times New Roman" w:hAnsi="Times New Roman" w:cs="Times New Roman"/>
          <w:sz w:val="24"/>
          <w:szCs w:val="24"/>
        </w:rPr>
        <w:t>all</w:t>
      </w:r>
      <w:r w:rsidR="008C139C" w:rsidRPr="004C52D9">
        <w:rPr>
          <w:rFonts w:ascii="Times New Roman" w:hAnsi="Times New Roman" w:cs="Times New Roman"/>
          <w:sz w:val="24"/>
          <w:szCs w:val="24"/>
        </w:rPr>
        <w:t xml:space="preserve"> </w:t>
      </w:r>
      <w:r w:rsidR="008C139C">
        <w:rPr>
          <w:rFonts w:ascii="Times New Roman" w:hAnsi="Times New Roman" w:cs="Times New Roman"/>
          <w:sz w:val="24"/>
          <w:szCs w:val="24"/>
        </w:rPr>
        <w:t>current</w:t>
      </w:r>
      <w:r w:rsidR="008C139C" w:rsidRPr="004C52D9">
        <w:rPr>
          <w:rFonts w:ascii="Times New Roman" w:hAnsi="Times New Roman" w:cs="Times New Roman"/>
          <w:sz w:val="24"/>
          <w:szCs w:val="24"/>
        </w:rPr>
        <w:t xml:space="preserve"> tools are</w:t>
      </w:r>
      <w:r w:rsidR="008C139C" w:rsidRPr="00591B0F">
        <w:rPr>
          <w:rFonts w:ascii="Times New Roman" w:hAnsi="Times New Roman" w:cs="Times New Roman"/>
          <w:sz w:val="24"/>
          <w:szCs w:val="24"/>
        </w:rPr>
        <w:t xml:space="preserve"> deterministic</w:t>
      </w:r>
      <w:r w:rsidR="008C139C">
        <w:rPr>
          <w:rFonts w:ascii="Times New Roman" w:hAnsi="Times New Roman" w:cs="Times New Roman"/>
          <w:sz w:val="24"/>
          <w:szCs w:val="24"/>
        </w:rPr>
        <w:t xml:space="preserve"> </w:t>
      </w:r>
      <w:r w:rsidR="008C139C" w:rsidRPr="004C52D9">
        <w:rPr>
          <w:rFonts w:ascii="Times New Roman" w:hAnsi="Times New Roman" w:cs="Times New Roman"/>
          <w:sz w:val="24"/>
          <w:szCs w:val="24"/>
        </w:rPr>
        <w:t>classification models</w:t>
      </w:r>
      <w:r w:rsidR="008C139C">
        <w:rPr>
          <w:rFonts w:ascii="Times New Roman" w:hAnsi="Times New Roman" w:cs="Times New Roman"/>
          <w:sz w:val="24"/>
          <w:szCs w:val="24"/>
        </w:rPr>
        <w:t xml:space="preserve"> designed</w:t>
      </w:r>
      <w:r w:rsidR="008C139C" w:rsidRPr="004C52D9">
        <w:rPr>
          <w:rFonts w:ascii="Times New Roman" w:hAnsi="Times New Roman" w:cs="Times New Roman"/>
          <w:sz w:val="24"/>
          <w:szCs w:val="24"/>
        </w:rPr>
        <w:t xml:space="preserve"> to predict whether a compound acts as an inhibitor or not for the target CYP enzyme(s)</w:t>
      </w:r>
      <w:r w:rsidR="008C139C">
        <w:rPr>
          <w:rFonts w:ascii="Times New Roman" w:hAnsi="Times New Roman" w:cs="Times New Roman"/>
          <w:sz w:val="24"/>
          <w:szCs w:val="24"/>
        </w:rPr>
        <w:t xml:space="preserve">, </w:t>
      </w:r>
      <w:r w:rsidR="008C139C" w:rsidRPr="003C7675">
        <w:rPr>
          <w:rFonts w:ascii="Times New Roman" w:hAnsi="Times New Roman" w:cs="Times New Roman"/>
          <w:sz w:val="24"/>
          <w:szCs w:val="24"/>
        </w:rPr>
        <w:t>without assessing the reliability of these predictions</w:t>
      </w:r>
    </w:p>
    <w:p w14:paraId="3C5C7E61" w14:textId="7671227F" w:rsidR="00615E84" w:rsidRPr="004C52D9" w:rsidRDefault="00615E84" w:rsidP="005C60FF">
      <w:pPr>
        <w:spacing w:beforeLines="50" w:before="156" w:afterLines="50" w:after="156" w:line="276" w:lineRule="auto"/>
        <w:ind w:firstLineChars="100" w:firstLine="240"/>
        <w:rPr>
          <w:rFonts w:ascii="Times New Roman" w:hAnsi="Times New Roman" w:cs="Times New Roman"/>
          <w:sz w:val="24"/>
          <w:szCs w:val="24"/>
        </w:rPr>
      </w:pPr>
      <w:r w:rsidRPr="004C52D9">
        <w:rPr>
          <w:rFonts w:ascii="Times New Roman" w:hAnsi="Times New Roman" w:cs="Times New Roman"/>
          <w:sz w:val="24"/>
          <w:szCs w:val="24"/>
        </w:rPr>
        <w:t>The key to the success of machine learning</w:t>
      </w:r>
      <w:r w:rsidR="00E5570C" w:rsidRPr="004C52D9">
        <w:rPr>
          <w:rFonts w:ascii="Times New Roman" w:hAnsi="Times New Roman" w:cs="Times New Roman"/>
          <w:sz w:val="24"/>
          <w:szCs w:val="24"/>
        </w:rPr>
        <w:t xml:space="preserve"> (ML)</w:t>
      </w:r>
      <w:r w:rsidRPr="004C52D9">
        <w:rPr>
          <w:rFonts w:ascii="Times New Roman" w:hAnsi="Times New Roman" w:cs="Times New Roman"/>
          <w:sz w:val="24"/>
          <w:szCs w:val="24"/>
        </w:rPr>
        <w:t xml:space="preserve"> models is the availability of comprehensive and high-quality datasets. In the field of molecular property prediction, bioactive data are inherently noisy due to </w:t>
      </w:r>
      <w:r w:rsidR="00981F62">
        <w:rPr>
          <w:rFonts w:ascii="Times New Roman" w:hAnsi="Times New Roman" w:cs="Times New Roman"/>
          <w:sz w:val="24"/>
          <w:szCs w:val="24"/>
        </w:rPr>
        <w:t>various</w:t>
      </w:r>
      <w:r w:rsidRPr="004C52D9">
        <w:rPr>
          <w:rFonts w:ascii="Times New Roman" w:hAnsi="Times New Roman" w:cs="Times New Roman"/>
          <w:sz w:val="24"/>
          <w:szCs w:val="24"/>
        </w:rPr>
        <w:t xml:space="preserve"> reasons such as diverse experimental methods, experimenter manipulation, and instrume</w:t>
      </w:r>
      <w:r w:rsidRPr="0048209F">
        <w:rPr>
          <w:rFonts w:ascii="Times New Roman" w:hAnsi="Times New Roman" w:cs="Times New Roman"/>
          <w:sz w:val="24"/>
          <w:szCs w:val="24"/>
        </w:rPr>
        <w:t>ntal resolution.</w:t>
      </w:r>
      <w:r w:rsidR="00350A20" w:rsidRPr="0048209F">
        <w:rPr>
          <w:rFonts w:ascii="Times New Roman" w:hAnsi="Times New Roman" w:cs="Times New Roman"/>
          <w:sz w:val="24"/>
          <w:szCs w:val="24"/>
        </w:rPr>
        <w:fldChar w:fldCharType="begin"/>
      </w:r>
      <w:r w:rsidR="00350A20" w:rsidRPr="0048209F">
        <w:rPr>
          <w:rFonts w:ascii="Times New Roman" w:hAnsi="Times New Roman" w:cs="Times New Roman"/>
          <w:sz w:val="24"/>
          <w:szCs w:val="24"/>
        </w:rPr>
        <w:instrText xml:space="preserve"> ADDIN ZOTERO_ITEM CSL_CITATION {"citationID":"qx6WTNDr","properties":{"formattedCitation":"\\super 30\\nosupersub{}","plainCitation":"30","noteIndex":0},"citationItems":[{"id":1143,"uris":["http://zotero.org/users/9157699/items/EJM5RPA6"],"itemData":{"id":1143,"type":"article-journal","container-title":"Drug Discovery Today","DOI":"10.1016/j.drudis.2020.11.027","ISSN":"13596446","issue":"2","journalAbbreviation":"Drug Discovery Today","language":"en","page":"474-489","source":"DOI.org (Crossref)","title":"Uncertainty quantification in drug design","volume":"26","author":[{"family":"Mervin","given":"Lewis H."},{"family":"Johansson","given":"Simon"},{"family":"Semenova","given":"Elizaveta"},{"family":"Giblin","given":"Kathryn A."},{"family":"Engkvist","given":"Ola"}],"issued":{"date-parts":[["2021",2]]}}}],"schema":"https://github.com/citation-style-language/schema/raw/master/csl-citation.json"} </w:instrText>
      </w:r>
      <w:r w:rsidR="00350A20" w:rsidRPr="0048209F">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30</w:t>
      </w:r>
      <w:r w:rsidR="00350A20" w:rsidRPr="0048209F">
        <w:rPr>
          <w:rFonts w:ascii="Times New Roman" w:hAnsi="Times New Roman" w:cs="Times New Roman"/>
          <w:sz w:val="24"/>
          <w:szCs w:val="24"/>
        </w:rPr>
        <w:fldChar w:fldCharType="end"/>
      </w:r>
      <w:r w:rsidRPr="0048209F">
        <w:rPr>
          <w:rFonts w:ascii="Times New Roman" w:hAnsi="Times New Roman" w:cs="Times New Roman"/>
          <w:sz w:val="24"/>
          <w:szCs w:val="24"/>
        </w:rPr>
        <w:t xml:space="preserve"> As a result, data quality from different sources can vary significantly, leading to a potential impact on the coherence of information and ultimately affecting the performance of the model.</w:t>
      </w:r>
      <w:r w:rsidR="00F53BC2" w:rsidRPr="0048209F">
        <w:rPr>
          <w:rFonts w:ascii="Times New Roman" w:hAnsi="Times New Roman" w:cs="Times New Roman"/>
          <w:sz w:val="24"/>
          <w:szCs w:val="24"/>
        </w:rPr>
        <w:fldChar w:fldCharType="begin"/>
      </w:r>
      <w:r w:rsidR="00F53BC2" w:rsidRPr="0048209F">
        <w:rPr>
          <w:rFonts w:ascii="Times New Roman" w:hAnsi="Times New Roman" w:cs="Times New Roman"/>
          <w:sz w:val="24"/>
          <w:szCs w:val="24"/>
        </w:rPr>
        <w:instrText xml:space="preserve"> ADDIN ZOTERO_ITEM CSL_CITATION {"citationID":"mOQCjsHW","properties":{"formattedCitation":"\\super 30,31\\nosupersub{}","plainCitation":"30,31","noteIndex":0},"citationItems":[{"id":1143,"uris":["http://zotero.org/users/9157699/items/EJM5RPA6"],"itemData":{"id":1143,"type":"article-journal","container-title":"Drug Discovery Today","DOI":"10.1016/j.drudis.2020.11.027","ISSN":"13596446","issue":"2","journalAbbreviation":"Drug Discovery Today","language":"en","page":"474-489","source":"DOI.org (Crossref)","title":"Uncertainty quantification in drug design","volume":"26","author":[{"family":"Mervin","given":"Lewis H."},{"family":"Johansson","given":"Simon"},{"family":"Semenova","given":"Elizaveta"},{"family":"Giblin","given":"Kathryn A."},{"family":"Engkvist","given":"Ola"}],"issued":{"date-parts":[["2021",2]]}}},{"id":1825,"uris":["http://zotero.org/users/9157699/items/865KD44Z"],"itemData":{"id":1825,"type":"article-journal","abstract":"There are two major types of uncertainty one can model. Aleatoric uncertainty captures noise inherent in the observations. On the other hand, epistemic uncertainty accounts for uncertainty in the model – uncertainty which can be explained away given enough data. Traditionally it has been difﬁcult to model epistemic uncertainty in computer vision, but with new Bayesian deep learning tools this is now possible. We study the beneﬁts of modeling epistemic vs. aleatoric uncertainty in Bayesian deep learning models for vision tasks. For this we present a Bayesian deep learning framework combining input-dependent aleatoric uncertainty together with epistemic uncertainty. We study models under the framework with per-pixel semantic segmentation and depth regression tasks. Further, our explicit uncertainty formulation leads to new loss functions for these tasks, which can be interpreted as learned attenuation. This makes the loss more robust to noisy data, also giving new state-of-the-art results on segmentation and depth regression benchmarks.","language":"en","source":"Zotero","title":"What Uncertainties Do We Need in Bayesian Deep Learning for Computer Vision?","author":[{"family":"Kendall","given":"Alex"},{"family":"Gal","given":"Yarin"}]}}],"schema":"https://github.com/citation-style-language/schema/raw/master/csl-citation.json"} </w:instrText>
      </w:r>
      <w:r w:rsidR="00F53BC2" w:rsidRPr="0048209F">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30,31</w:t>
      </w:r>
      <w:r w:rsidR="00F53BC2" w:rsidRPr="0048209F">
        <w:rPr>
          <w:rFonts w:ascii="Times New Roman" w:hAnsi="Times New Roman" w:cs="Times New Roman"/>
          <w:sz w:val="24"/>
          <w:szCs w:val="24"/>
        </w:rPr>
        <w:fldChar w:fldCharType="end"/>
      </w:r>
      <w:r w:rsidRPr="0048209F">
        <w:rPr>
          <w:rFonts w:ascii="Times New Roman" w:hAnsi="Times New Roman" w:cs="Times New Roman"/>
          <w:sz w:val="24"/>
          <w:szCs w:val="24"/>
        </w:rPr>
        <w:t xml:space="preserve"> In addition, limited availability of training data often leads to poor generalization capabilities of models. Inconsistent distributions between the training and test data can result in models that generate unreliable outputs, often underestimating the actual errors that users may encounter when applying the model to predict new compounds in real-world scenarios.</w:t>
      </w:r>
      <w:r w:rsidR="00F53BC2" w:rsidRPr="0048209F">
        <w:rPr>
          <w:rFonts w:ascii="Times New Roman" w:hAnsi="Times New Roman" w:cs="Times New Roman"/>
          <w:sz w:val="24"/>
          <w:szCs w:val="24"/>
        </w:rPr>
        <w:fldChar w:fldCharType="begin"/>
      </w:r>
      <w:r w:rsidR="00F53BC2" w:rsidRPr="0048209F">
        <w:rPr>
          <w:rFonts w:ascii="Times New Roman" w:hAnsi="Times New Roman" w:cs="Times New Roman"/>
          <w:sz w:val="24"/>
          <w:szCs w:val="24"/>
        </w:rPr>
        <w:instrText xml:space="preserve"> ADDIN ZOTERO_ITEM CSL_CITATION {"citationID":"muX3y40x","properties":{"formattedCitation":"\\super 30,31\\nosupersub{}","plainCitation":"30,31","noteIndex":0},"citationItems":[{"id":1143,"uris":["http://zotero.org/users/9157699/items/EJM5RPA6"],"itemData":{"id":1143,"type":"article-journal","container-title":"Drug Discovery Today","DOI":"10.1016/j.drudis.2020.11.027","ISSN":"13596446","issue":"2","journalAbbreviation":"Drug Discovery Today","language":"en","page":"474-489","source":"DOI.org (Crossref)","title":"Uncertainty quantification in drug design","volume":"26","author":[{"family":"Mervin","given":"Lewis H."},{"family":"Johansson","given":"Simon"},{"family":"Semenova","given":"Elizaveta"},{"family":"Giblin","given":"Kathryn A."},{"family":"Engkvist","given":"Ola"}],"issued":{"date-parts":[["2021",2]]}}},{"id":1825,"uris":["http://zotero.org/users/9157699/items/865KD44Z"],"itemData":{"id":1825,"type":"article-journal","abstract":"There are two major types of uncertainty one can model. Aleatoric uncertainty captures noise inherent in the observations. On the other hand, epistemic uncertainty accounts for uncertainty in the model – uncertainty which can be explained away given enough data. Traditionally it has been difﬁcult to model epistemic uncertainty in computer vision, but with new Bayesian deep learning tools this is now possible. We study the beneﬁts of modeling epistemic vs. aleatoric uncertainty in Bayesian deep learning models for vision tasks. For this we present a Bayesian deep learning framework combining input-dependent aleatoric uncertainty together with epistemic uncertainty. We study models under the framework with per-pixel semantic segmentation and depth regression tasks. Further, our explicit uncertainty formulation leads to new loss functions for these tasks, which can be interpreted as learned attenuation. This makes the loss more robust to noisy data, also giving new state-of-the-art results on segmentation and depth regression benchmarks.","language":"en","source":"Zotero","title":"What Uncertainties Do We Need in Bayesian Deep Learning for Computer Vision?","author":[{"family":"Kendall","given":"Alex"},{"family":"Gal","given":"Yarin"}]}}],"schema":"https://github.com/citation-style-language/schema/raw/master/csl-citation.json"} </w:instrText>
      </w:r>
      <w:r w:rsidR="00F53BC2" w:rsidRPr="0048209F">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30,31</w:t>
      </w:r>
      <w:r w:rsidR="00F53BC2" w:rsidRPr="0048209F">
        <w:rPr>
          <w:rFonts w:ascii="Times New Roman" w:hAnsi="Times New Roman" w:cs="Times New Roman"/>
          <w:sz w:val="24"/>
          <w:szCs w:val="24"/>
        </w:rPr>
        <w:fldChar w:fldCharType="end"/>
      </w:r>
      <w:r w:rsidRPr="0048209F">
        <w:rPr>
          <w:rFonts w:ascii="Times New Roman" w:hAnsi="Times New Roman" w:cs="Times New Roman"/>
          <w:sz w:val="24"/>
          <w:szCs w:val="24"/>
        </w:rPr>
        <w:t xml:space="preserve"> Unfortunately, traditional DL models do not offer confidence estimates for their outputs. In regression tasks, the output is a singular deterministic value, while in classification tasks, the output is a probability distribution with inadequate calibration of confidence.</w:t>
      </w:r>
      <w:r w:rsidR="008C139C" w:rsidRPr="008C139C">
        <w:rPr>
          <w:rFonts w:ascii="Times New Roman" w:hAnsi="Times New Roman" w:cs="Times New Roman"/>
          <w:sz w:val="24"/>
          <w:szCs w:val="24"/>
        </w:rPr>
        <w:t xml:space="preserve"> </w:t>
      </w:r>
      <w:r w:rsidR="008C139C" w:rsidRPr="004C52D9">
        <w:rPr>
          <w:rFonts w:ascii="Times New Roman" w:hAnsi="Times New Roman" w:cs="Times New Roman"/>
          <w:sz w:val="24"/>
          <w:szCs w:val="24"/>
        </w:rPr>
        <w:t>Th</w:t>
      </w:r>
      <w:r w:rsidR="008C139C">
        <w:rPr>
          <w:rFonts w:ascii="Times New Roman" w:hAnsi="Times New Roman" w:cs="Times New Roman"/>
          <w:sz w:val="24"/>
          <w:szCs w:val="24"/>
        </w:rPr>
        <w:t>e</w:t>
      </w:r>
      <w:r w:rsidR="008C139C" w:rsidRPr="004C52D9">
        <w:rPr>
          <w:rFonts w:ascii="Times New Roman" w:hAnsi="Times New Roman" w:cs="Times New Roman"/>
          <w:sz w:val="24"/>
          <w:szCs w:val="24"/>
        </w:rPr>
        <w:t xml:space="preserve"> limitation</w:t>
      </w:r>
      <w:r w:rsidR="008C139C">
        <w:rPr>
          <w:rFonts w:ascii="Times New Roman" w:hAnsi="Times New Roman" w:cs="Times New Roman"/>
          <w:sz w:val="24"/>
          <w:szCs w:val="24"/>
        </w:rPr>
        <w:t xml:space="preserve"> of </w:t>
      </w:r>
      <w:r w:rsidR="008C139C" w:rsidRPr="004C52D9">
        <w:rPr>
          <w:rFonts w:ascii="Times New Roman" w:hAnsi="Times New Roman" w:cs="Times New Roman"/>
          <w:sz w:val="24"/>
          <w:szCs w:val="24"/>
        </w:rPr>
        <w:t>reliability can have a detrimental impact on the decision-making process when utilizing prediction tools for drug design.</w:t>
      </w:r>
      <w:r w:rsidR="00F53BC2" w:rsidRPr="0048209F">
        <w:rPr>
          <w:rFonts w:ascii="Times New Roman" w:hAnsi="Times New Roman" w:cs="Times New Roman"/>
          <w:sz w:val="24"/>
          <w:szCs w:val="24"/>
        </w:rPr>
        <w:fldChar w:fldCharType="begin"/>
      </w:r>
      <w:r w:rsidR="0048209F">
        <w:rPr>
          <w:rFonts w:ascii="Times New Roman" w:hAnsi="Times New Roman" w:cs="Times New Roman"/>
          <w:sz w:val="24"/>
          <w:szCs w:val="24"/>
        </w:rPr>
        <w:instrText xml:space="preserve"> ADDIN ZOTERO_ITEM CSL_CITATION {"citationID":"BP9Jx5yd","properties":{"formattedCitation":"\\super 30,32\\nosupersub{}","plainCitation":"30,32","noteIndex":0},"citationItems":[{"id":1143,"uris":["http://zotero.org/users/9157699/items/EJM5RPA6"],"itemData":{"id":1143,"type":"article-journal","container-title":"Drug Discovery Today","DOI":"10.1016/j.drudis.2020.11.027","ISSN":"13596446","issue":"2","journalAbbreviation":"Drug Discovery Today","language":"en","page":"474-489","source":"DOI.org (Crossref)","title":"Uncertainty quantification in drug design","volume":"26","author":[{"family":"Mervin","given":"Lewis H."},{"family":"Johansson","given":"Simon"},{"family":"Semenova","given":"Elizaveta"},{"family":"Giblin","given":"Kathryn A."},{"family":"Engkvist","given":"Ola"}],"issued":{"date-parts":[["2021",2]]}}},{"id":1123,"uris":["http://zotero.org/users/9157699/items/S5PUEAC5"],"itemData":{"id":1123,"type":"article-journal","abstract":"Uncertainty quantification (UQ) methods play a pivotal role in reducing the impact of uncertainties during both optimization and decision making processes. They have been applied to solve a variety of real-world problems in science and engineering. Bayesian approximation and ensemble learning techniques are two widely-used types of uncertainty quantification (UQ) methods. In this regard, researchers have proposed different UQ methods and examined their performance in a variety of applications such as computer vision (e.g., selfdriving cars and object detection), image processing (e.g., image restoration), medical image analysis (e.g., medical image classification and segmentation), natural language processing (e.g., text classification, social media texts and recidivism risk-scoring), bioinformatics, etc. This study reviews recent advances in UQ methods used in deep learning, investigates the application of these methods in reinforcement learning, and highlights fundamental research challenges and directions associated with UQ.","container-title":"Information Fusion","DOI":"10.1016/j.inffus.2021.05.008","ISSN":"15662535","journalAbbreviation":"Information Fusion","language":"en","page":"243-297","source":"DOI.org (Crossref)","title":"A review of uncertainty quantification in deep learning: Techniques, applications and challenges","title-short":"A review of uncertainty quantification in deep learning","volume":"76","author":[{"family":"Abdar","given":"Moloud"},{"family":"Pourpanah","given":"Farhad"},{"family":"Hussain","given":"Sadiq"},{"family":"Rezazadegan","given":"Dana"},{"family":"Liu","given":"Li"},{"family":"Ghavamzadeh","given":"Mohammad"},{"family":"Fieguth","given":"Paul"},{"family":"Cao","given":"Xiaochun"},{"family":"Khosravi","given":"Abbas"},{"family":"Acharya","given":"U. Rajendra"},{"family":"Makarenkov","given":"Vladimir"},{"family":"Nahavandi","given":"Saeid"}],"issued":{"date-parts":[["2021",12]]}}}],"schema":"https://github.com/citation-style-language/schema/raw/master/csl-citation.json"} </w:instrText>
      </w:r>
      <w:r w:rsidR="00F53BC2" w:rsidRPr="0048209F">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30,32</w:t>
      </w:r>
      <w:r w:rsidR="00F53BC2" w:rsidRPr="0048209F">
        <w:rPr>
          <w:rFonts w:ascii="Times New Roman" w:hAnsi="Times New Roman" w:cs="Times New Roman"/>
          <w:sz w:val="24"/>
          <w:szCs w:val="24"/>
        </w:rPr>
        <w:fldChar w:fldCharType="end"/>
      </w:r>
    </w:p>
    <w:p w14:paraId="43692628" w14:textId="626D4BDC" w:rsidR="00615E84" w:rsidRPr="004C52D9" w:rsidRDefault="00615E84" w:rsidP="005C60FF">
      <w:pPr>
        <w:spacing w:beforeLines="50" w:before="156" w:afterLines="50" w:after="156" w:line="276" w:lineRule="auto"/>
        <w:ind w:firstLineChars="100" w:firstLine="240"/>
        <w:rPr>
          <w:rFonts w:ascii="Times New Roman" w:hAnsi="Times New Roman" w:cs="Times New Roman"/>
          <w:sz w:val="24"/>
          <w:szCs w:val="24"/>
        </w:rPr>
      </w:pPr>
      <w:r w:rsidRPr="004C52D9">
        <w:rPr>
          <w:rFonts w:ascii="Times New Roman" w:hAnsi="Times New Roman" w:cs="Times New Roman"/>
          <w:sz w:val="24"/>
          <w:szCs w:val="24"/>
        </w:rPr>
        <w:t>Uncertainty quantification (UQ) methods are promising approaches that enable estimat</w:t>
      </w:r>
      <w:r w:rsidR="00981F62">
        <w:rPr>
          <w:rFonts w:ascii="Times New Roman" w:hAnsi="Times New Roman" w:cs="Times New Roman"/>
          <w:sz w:val="24"/>
          <w:szCs w:val="24"/>
        </w:rPr>
        <w:t>ing</w:t>
      </w:r>
      <w:r w:rsidRPr="004C52D9">
        <w:rPr>
          <w:rFonts w:ascii="Times New Roman" w:hAnsi="Times New Roman" w:cs="Times New Roman"/>
          <w:sz w:val="24"/>
          <w:szCs w:val="24"/>
        </w:rPr>
        <w:t xml:space="preserve"> the reliability of prediction results. Generally, uncertainty</w:t>
      </w:r>
      <w:r w:rsidRPr="004C52D9">
        <w:rPr>
          <w:rFonts w:ascii="Times New Roman" w:hAnsi="Times New Roman" w:cs="Times New Roman"/>
          <w:sz w:val="24"/>
          <w:szCs w:val="24"/>
          <w14:textFill>
            <w14:gradFill>
              <w14:gsLst>
                <w14:gs w14:pos="0">
                  <w14:srgbClr w14:val="012D86"/>
                </w14:gs>
                <w14:gs w14:pos="100000">
                  <w14:srgbClr w14:val="0E2557"/>
                </w14:gs>
              </w14:gsLst>
              <w14:lin w14:ang="0" w14:scaled="0"/>
            </w14:gradFill>
          </w14:textFill>
        </w:rPr>
        <w:t xml:space="preserve"> </w:t>
      </w:r>
      <w:r w:rsidRPr="004C52D9">
        <w:rPr>
          <w:rFonts w:ascii="Times New Roman" w:hAnsi="Times New Roman" w:cs="Times New Roman"/>
          <w:sz w:val="24"/>
          <w:szCs w:val="24"/>
        </w:rPr>
        <w:t xml:space="preserve">can be classified into two categories: </w:t>
      </w:r>
      <w:r w:rsidRPr="0077460A">
        <w:rPr>
          <w:rFonts w:ascii="Times New Roman" w:hAnsi="Times New Roman" w:cs="Times New Roman"/>
          <w:sz w:val="24"/>
          <w:szCs w:val="24"/>
        </w:rPr>
        <w:t>aleatoric uncertainty (data-related, irreducible) and epistemic uncertainty (model-related, reducible). Aleatoric uncertainty reflects the inherent stochastic nature of the data. In the field of drug discovery, data noise arises from both systematic and random errors in experimental measurements.</w:t>
      </w:r>
      <w:r w:rsidR="0077460A">
        <w:rPr>
          <w:rFonts w:ascii="Times New Roman" w:hAnsi="Times New Roman" w:cs="Times New Roman"/>
          <w:sz w:val="24"/>
          <w:szCs w:val="24"/>
        </w:rPr>
        <w:fldChar w:fldCharType="begin"/>
      </w:r>
      <w:r w:rsidR="0077460A">
        <w:rPr>
          <w:rFonts w:ascii="Times New Roman" w:hAnsi="Times New Roman" w:cs="Times New Roman"/>
          <w:sz w:val="24"/>
          <w:szCs w:val="24"/>
        </w:rPr>
        <w:instrText xml:space="preserve"> ADDIN ZOTERO_ITEM CSL_CITATION {"citationID":"Lw4Ojh6m","properties":{"formattedCitation":"\\super 33\\nosupersub{}","plainCitation":"33","noteIndex":0},"citationItems":[{"id":1124,"uris":["http://zotero.org/users/9157699/items/HEBFMZ6M"],"itemData":{"id":1124,"type":"article-journal","abstract":"The problem of human trust is one of the most fundamental problems in applied artiﬁcial intelligence in drug discovery. In silico models have been widely used to accelerate the process of drug discovery in recent years. However, most of these models can only give reliable predictions within a limited chemical space that the training set covers (applicability domain). Predictions of samples falling outside the applicability domain are unreliable and sometimes dangerous for the drugdesign decision-making process. Uncertainty quantiﬁcation accordingly has drawn great attention to enable autonomous drug designing. By quantifying the conﬁdence level of model predictions, the reliability of the predictions can be quantitatively represented to assist researchers in their molecular reasoning and experimental design. Here we summarize the state-of-the-art approaches to uncertainty quantiﬁcation and underline how they can be used for drug design and discovery projects. Furthermore, we also outline four representative application scenarios of uncertainty quantiﬁcation in drug discovery.","container-title":"iScience","DOI":"10.1016/j.isci.2022.104814","ISSN":"25890042","issue":"8","journalAbbreviation":"iScience","language":"en","page":"104814","source":"DOI.org (Crossref)","title":"Uncertainty quantification: Can we trust artificial intelligence in drug discovery?","title-short":"Uncertainty quantification","volume":"25","author":[{"family":"Yu","given":"Jie"},{"family":"Wang","given":"Dingyan"},{"family":"Zheng","given":"Mingyue"}],"issued":{"date-parts":[["2022",8]]}}}],"schema":"https://github.com/citation-style-language/schema/raw/master/csl-citation.json"} </w:instrText>
      </w:r>
      <w:r w:rsidR="0077460A">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33</w:t>
      </w:r>
      <w:r w:rsidR="0077460A">
        <w:rPr>
          <w:rFonts w:ascii="Times New Roman" w:hAnsi="Times New Roman" w:cs="Times New Roman"/>
          <w:sz w:val="24"/>
          <w:szCs w:val="24"/>
        </w:rPr>
        <w:fldChar w:fldCharType="end"/>
      </w:r>
      <w:r w:rsidRPr="0077460A">
        <w:rPr>
          <w:rFonts w:ascii="Times New Roman" w:hAnsi="Times New Roman" w:cs="Times New Roman"/>
          <w:sz w:val="24"/>
          <w:szCs w:val="24"/>
        </w:rPr>
        <w:t xml:space="preserve"> Aleatoric uncertainty cannot be reduced by dataset expansion or improving model performance.</w:t>
      </w:r>
      <w:r w:rsidR="0048209F">
        <w:rPr>
          <w:rFonts w:ascii="Times New Roman" w:hAnsi="Times New Roman" w:cs="Times New Roman"/>
          <w:sz w:val="24"/>
          <w:szCs w:val="24"/>
        </w:rPr>
        <w:t xml:space="preserve"> </w:t>
      </w:r>
      <w:r w:rsidRPr="004C52D9">
        <w:rPr>
          <w:rFonts w:ascii="Times New Roman" w:hAnsi="Times New Roman" w:cs="Times New Roman"/>
          <w:sz w:val="24"/>
          <w:szCs w:val="24"/>
        </w:rPr>
        <w:t xml:space="preserve">Otherwise, it can be reduced by utilizing consistent experimental sources, replicating experimental results, and removing erroneous samples. </w:t>
      </w:r>
      <w:r w:rsidRPr="0077460A">
        <w:rPr>
          <w:rFonts w:ascii="Times New Roman" w:hAnsi="Times New Roman" w:cs="Times New Roman"/>
          <w:sz w:val="24"/>
          <w:szCs w:val="24"/>
        </w:rPr>
        <w:t xml:space="preserve">Epistemic uncertainty refers to </w:t>
      </w:r>
      <w:r w:rsidR="00981F62">
        <w:rPr>
          <w:rFonts w:ascii="Times New Roman" w:hAnsi="Times New Roman" w:cs="Times New Roman"/>
          <w:sz w:val="24"/>
          <w:szCs w:val="24"/>
        </w:rPr>
        <w:t>errors arising from lacking</w:t>
      </w:r>
      <w:r w:rsidRPr="0077460A">
        <w:rPr>
          <w:rFonts w:ascii="Times New Roman" w:hAnsi="Times New Roman" w:cs="Times New Roman"/>
          <w:sz w:val="24"/>
          <w:szCs w:val="24"/>
        </w:rPr>
        <w:t xml:space="preserve"> knowledge in certain regions of the sample space.</w:t>
      </w:r>
      <w:r w:rsidR="002C548A">
        <w:rPr>
          <w:rFonts w:ascii="Times New Roman" w:hAnsi="Times New Roman" w:cs="Times New Roman"/>
          <w:sz w:val="24"/>
          <w:szCs w:val="24"/>
        </w:rPr>
        <w:fldChar w:fldCharType="begin"/>
      </w:r>
      <w:r w:rsidR="002C548A">
        <w:rPr>
          <w:rFonts w:ascii="Times New Roman" w:hAnsi="Times New Roman" w:cs="Times New Roman"/>
          <w:sz w:val="24"/>
          <w:szCs w:val="24"/>
        </w:rPr>
        <w:instrText xml:space="preserve"> ADDIN ZOTERO_ITEM CSL_CITATION {"citationID":"9xfdBlLd","properties":{"formattedCitation":"\\super 31\\uc0\\u8211{}33\\nosupersub{}","plainCitation":"31–33","noteIndex":0},"citationItems":[{"id":1825,"uris":["http://zotero.org/users/9157699/items/865KD44Z"],"itemData":{"id":1825,"type":"article-journal","abstract":"There are two major types of uncertainty one can model. Aleatoric uncertainty captures noise inherent in the observations. On the other hand, epistemic uncertainty accounts for uncertainty in the model – uncertainty which can be explained away given enough data. Traditionally it has been difﬁcult to model epistemic uncertainty in computer vision, but with new Bayesian deep learning tools this is now possible. We study the beneﬁts of modeling epistemic vs. aleatoric uncertainty in Bayesian deep learning models for vision tasks. For this we present a Bayesian deep learning framework combining input-dependent aleatoric uncertainty together with epistemic uncertainty. We study models under the framework with per-pixel semantic segmentation and depth regression tasks. Further, our explicit uncertainty formulation leads to new loss functions for these tasks, which can be interpreted as learned attenuation. This makes the loss more robust to noisy data, also giving new state-of-the-art results on segmentation and depth regression benchmarks.","language":"en","source":"Zotero","title":"What Uncertainties Do We Need in Bayesian Deep Learning for Computer Vision?","author":[{"family":"Kendall","given":"Alex"},{"family":"Gal","given":"Yarin"}]}},{"id":1123,"uris":["http://zotero.org/users/9157699/items/S5PUEAC5"],"itemData":{"id":1123,"type":"article-journal","abstract":"Uncertainty quantification (UQ) methods play a pivotal role in reducing the impact of uncertainties during both optimization and decision making processes. They have been applied to solve a variety of real-world problems in science and engineering. Bayesian approximation and ensemble learning techniques are two widely-used types of uncertainty quantification (UQ) methods. In this regard, researchers have proposed different UQ methods and examined their performance in a variety of applications such as computer vision (e.g., selfdriving cars and object detection), image processing (e.g., image restoration), medical image analysis (e.g., medical image classification and segmentation), natural language processing (e.g., text classification, social media texts and recidivism risk-scoring), bioinformatics, etc. This study reviews recent advances in UQ methods used in deep learning, investigates the application of these methods in reinforcement learning, and highlights fundamental research challenges and directions associated with UQ.","container-title":"Information Fusion","DOI":"10.1016/j.inffus.2021.05.008","ISSN":"15662535","journalAbbreviation":"Information Fusion","language":"en","page":"243-297","source":"DOI.org (Crossref)","title":"A review of uncertainty quantification in deep learning: Techniques, applications and challenges","title-short":"A review of uncertainty quantification in deep learning","volume":"76","author":[{"family":"Abdar","given":"Moloud"},{"family":"Pourpanah","given":"Farhad"},{"family":"Hussain","given":"Sadiq"},{"family":"Rezazadegan","given":"Dana"},{"family":"Liu","given":"Li"},{"family":"Ghavamzadeh","given":"Mohammad"},{"family":"Fieguth","given":"Paul"},{"family":"Cao","given":"Xiaochun"},{"family":"Khosravi","given":"Abbas"},{"family":"Acharya","given":"U. Rajendra"},{"family":"Makarenkov","given":"Vladimir"},{"family":"Nahavandi","given":"Saeid"}],"issued":{"date-parts":[["2021",12]]}}},{"id":1124,"uris":["http://zotero.org/users/9157699/items/HEBFMZ6M"],"itemData":{"id":1124,"type":"article-journal","abstract":"The problem of human trust is one of the most fundamental problems in applied artiﬁcial intelligence in drug discovery. In silico models have been widely used to accelerate the process of drug discovery in recent years. However, most of these models can only give reliable predictions within a limited chemical space that the training set covers (applicability domain). Predictions of samples falling outside the applicability domain are unreliable and sometimes dangerous for the drugdesign decision-making process. Uncertainty quantiﬁcation accordingly has drawn great attention to enable autonomous drug designing. By quantifying the conﬁdence level of model predictions, the reliability of the predictions can be quantitatively represented to assist researchers in their molecular reasoning and experimental design. Here we summarize the state-of-the-art approaches to uncertainty quantiﬁcation and underline how they can be used for drug design and discovery projects. Furthermore, we also outline four representative application scenarios of uncertainty quantiﬁcation in drug discovery.","container-title":"iScience","DOI":"10.1016/j.isci.2022.104814","ISSN":"25890042","issue":"8","journalAbbreviation":"iScience","language":"en","page":"104814","source":"DOI.org (Crossref)","title":"Uncertainty quantification: Can we trust artificial intelligence in drug discovery?","title-short":"Uncertainty quantification","volume":"25","author":[{"family":"Yu","given":"Jie"},{"family":"Wang","given":"Dingyan"},{"family":"Zheng","given":"Mingyue"}],"issued":{"date-parts":[["2022",8]]}}}],"schema":"https://github.com/citation-style-language/schema/raw/master/csl-citation.json"} </w:instrText>
      </w:r>
      <w:r w:rsidR="002C548A">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31–33</w:t>
      </w:r>
      <w:r w:rsidR="002C548A">
        <w:rPr>
          <w:rFonts w:ascii="Times New Roman" w:hAnsi="Times New Roman" w:cs="Times New Roman"/>
          <w:sz w:val="24"/>
          <w:szCs w:val="24"/>
        </w:rPr>
        <w:fldChar w:fldCharType="end"/>
      </w:r>
      <w:r w:rsidRPr="004C52D9">
        <w:rPr>
          <w:rFonts w:ascii="Times New Roman" w:hAnsi="Times New Roman" w:cs="Times New Roman"/>
          <w:sz w:val="24"/>
          <w:szCs w:val="24"/>
        </w:rPr>
        <w:t xml:space="preserve"> It is determined by the distribution of model parameters and reflects the confidence level of the model. </w:t>
      </w:r>
      <w:r w:rsidRPr="002C548A">
        <w:rPr>
          <w:rFonts w:ascii="Times New Roman" w:hAnsi="Times New Roman" w:cs="Times New Roman"/>
          <w:sz w:val="24"/>
          <w:szCs w:val="24"/>
        </w:rPr>
        <w:t>Typically, higher epistemic uncertainty is assigned to predictions in regions with sparse data points, while lower epistemic uncertainty is assigned in regions with observed data points.</w:t>
      </w:r>
      <w:r w:rsidR="002C548A">
        <w:rPr>
          <w:rFonts w:ascii="Times New Roman" w:hAnsi="Times New Roman" w:cs="Times New Roman"/>
          <w:sz w:val="24"/>
          <w:szCs w:val="24"/>
          <w:highlight w:val="yellow"/>
        </w:rPr>
        <w:fldChar w:fldCharType="begin"/>
      </w:r>
      <w:r w:rsidR="002C548A">
        <w:rPr>
          <w:rFonts w:ascii="Times New Roman" w:hAnsi="Times New Roman" w:cs="Times New Roman"/>
          <w:sz w:val="24"/>
          <w:szCs w:val="24"/>
          <w:highlight w:val="yellow"/>
        </w:rPr>
        <w:instrText xml:space="preserve"> ADDIN ZOTERO_ITEM CSL_CITATION {"citationID":"T4M8ph2Y","properties":{"formattedCitation":"\\super 30\\nosupersub{}","plainCitation":"30","noteIndex":0},"citationItems":[{"id":1143,"uris":["http://zotero.org/users/9157699/items/EJM5RPA6"],"itemData":{"id":1143,"type":"article-journal","container-title":"Drug Discovery Today","DOI":"10.1016/j.drudis.2020.11.027","ISSN":"13596446","issue":"2","journalAbbreviation":"Drug Discovery Today","language":"en","page":"474-489","source":"DOI.org (Crossref)","title":"Uncertainty quantification in drug design","volume":"26","author":[{"family":"Mervin","given":"Lewis H."},{"family":"Johansson","given":"Simon"},{"family":"Semenova","given":"Elizaveta"},{"family":"Giblin","given":"Kathryn A."},{"family":"Engkvist","given":"Ola"}],"issued":{"date-parts":[["2021",2]]}}}],"schema":"https://github.com/citation-style-language/schema/raw/master/csl-citation.json"} </w:instrText>
      </w:r>
      <w:r w:rsidR="002C548A">
        <w:rPr>
          <w:rFonts w:ascii="Times New Roman" w:hAnsi="Times New Roman" w:cs="Times New Roman"/>
          <w:sz w:val="24"/>
          <w:szCs w:val="24"/>
          <w:highlight w:val="yellow"/>
        </w:rPr>
        <w:fldChar w:fldCharType="separate"/>
      </w:r>
      <w:r w:rsidR="002C548A" w:rsidRPr="002C548A">
        <w:rPr>
          <w:rFonts w:ascii="Times New Roman" w:hAnsi="Times New Roman" w:cs="Times New Roman"/>
          <w:kern w:val="0"/>
          <w:sz w:val="24"/>
          <w:szCs w:val="24"/>
          <w:vertAlign w:val="superscript"/>
        </w:rPr>
        <w:t>30</w:t>
      </w:r>
      <w:r w:rsidR="002C548A">
        <w:rPr>
          <w:rFonts w:ascii="Times New Roman" w:hAnsi="Times New Roman" w:cs="Times New Roman"/>
          <w:sz w:val="24"/>
          <w:szCs w:val="24"/>
          <w:highlight w:val="yellow"/>
        </w:rPr>
        <w:fldChar w:fldCharType="end"/>
      </w:r>
      <w:r w:rsidRPr="004C52D9">
        <w:rPr>
          <w:rFonts w:ascii="Times New Roman" w:hAnsi="Times New Roman" w:cs="Times New Roman"/>
          <w:sz w:val="24"/>
          <w:szCs w:val="24"/>
        </w:rPr>
        <w:t xml:space="preserve"> To improve epistemic uncertainty, expanding samples in low-density data areas and enhancing the model's predictive capabilities can be beneficial. Over the past few decades, significant progress has been made in the development of various strategies for UQ, such as </w:t>
      </w:r>
      <w:r w:rsidRPr="00A65891">
        <w:rPr>
          <w:rFonts w:ascii="Times New Roman" w:hAnsi="Times New Roman" w:cs="Times New Roman"/>
          <w:sz w:val="24"/>
          <w:szCs w:val="24"/>
        </w:rPr>
        <w:t>Bayesian approximation methods</w:t>
      </w:r>
      <w:r w:rsidRPr="004C52D9">
        <w:rPr>
          <w:rFonts w:ascii="Times New Roman" w:hAnsi="Times New Roman" w:cs="Times New Roman"/>
          <w:sz w:val="24"/>
          <w:szCs w:val="24"/>
        </w:rPr>
        <w:t xml:space="preserve"> (e.g., Monte Carlo dropout,</w:t>
      </w:r>
      <w:r w:rsidR="002C548A">
        <w:rPr>
          <w:rFonts w:ascii="Times New Roman" w:hAnsi="Times New Roman" w:cs="Times New Roman"/>
          <w:sz w:val="24"/>
          <w:szCs w:val="24"/>
        </w:rPr>
        <w:fldChar w:fldCharType="begin"/>
      </w:r>
      <w:r w:rsidR="002C548A">
        <w:rPr>
          <w:rFonts w:ascii="Times New Roman" w:hAnsi="Times New Roman" w:cs="Times New Roman"/>
          <w:sz w:val="24"/>
          <w:szCs w:val="24"/>
        </w:rPr>
        <w:instrText xml:space="preserve"> ADDIN ZOTERO_ITEM CSL_CITATION {"citationID":"ljipH7Zl","properties":{"formattedCitation":"\\super 34\\nosupersub{}","plainCitation":"34","noteIndex":0},"citationItems":[{"id":1494,"uris":["http://zotero.org/users/9157699/items/2ZWPKY74"],"itemData":{"id":1494,"type":"article","abstract":"Deep learning tools have gained tremendous attention in applied machine learning. However such tools for regression and classification do not capture model uncertainty. In comparison, Bayesian models offer a mathematically grounded framework to reason about model uncertainty, but usually come with a prohibitive computational cost. In this paper we develop a new theoretical framework casting dropout training in deep neural networks (NNs) as approximate Bayesian inference in deep Gaussian processes. A direct result of this theory gives us tools to model uncertainty with dropout NNs -- extracting information from existing models that has been thrown away so far. This mitigates the problem of representing uncertainty in deep learning without sacrificing either computational complexity or test accuracy. We perform an extensive study of the properties of dropout's uncertainty. Various network architectures and non-linearities are assessed on tasks of regression and classification, using MNIST as an example. We show a considerable improvement in predictive log-likelihood and RMSE compared to existing state-of-the-art methods, and finish by using dropout's uncertainty in deep reinforcement learning.","note":"arXiv:1506.02142 [cs, stat]","number":"arXiv:1506.02142","publisher":"arXiv","source":"arXiv.org","title":"Dropout as a Bayesian Approximation: Representing Model Uncertainty in Deep Learning","title-short":"Dropout as a Bayesian Approximation","URL":"http://arxiv.org/abs/1506.02142","author":[{"family":"Gal","given":"Yarin"},{"family":"Ghahramani","given":"Zoubin"}],"accessed":{"date-parts":[["2023",2,20]]},"issued":{"date-parts":[["2016",10,4]]}}}],"schema":"https://github.com/citation-style-language/schema/raw/master/csl-citation.json"} </w:instrText>
      </w:r>
      <w:r w:rsidR="002C548A">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34</w:t>
      </w:r>
      <w:r w:rsidR="002C548A">
        <w:rPr>
          <w:rFonts w:ascii="Times New Roman" w:hAnsi="Times New Roman" w:cs="Times New Roman"/>
          <w:sz w:val="24"/>
          <w:szCs w:val="24"/>
        </w:rPr>
        <w:fldChar w:fldCharType="end"/>
      </w:r>
      <w:r w:rsidR="002C548A" w:rsidRPr="002C548A">
        <w:rPr>
          <w:rFonts w:ascii="Times New Roman" w:hAnsi="Times New Roman" w:cs="Times New Roman"/>
          <w:sz w:val="24"/>
          <w:szCs w:val="24"/>
        </w:rPr>
        <w:t xml:space="preserve"> </w:t>
      </w:r>
      <w:r w:rsidRPr="004C52D9">
        <w:rPr>
          <w:rFonts w:ascii="Times New Roman" w:hAnsi="Times New Roman" w:cs="Times New Roman"/>
          <w:sz w:val="24"/>
          <w:szCs w:val="24"/>
        </w:rPr>
        <w:t>Markov Chain Monte Carlo (MCMC),</w:t>
      </w:r>
      <w:r w:rsidR="002C548A">
        <w:rPr>
          <w:rFonts w:ascii="Times New Roman" w:hAnsi="Times New Roman" w:cs="Times New Roman"/>
          <w:sz w:val="24"/>
          <w:szCs w:val="24"/>
        </w:rPr>
        <w:fldChar w:fldCharType="begin"/>
      </w:r>
      <w:r w:rsidR="002C548A">
        <w:rPr>
          <w:rFonts w:ascii="Times New Roman" w:hAnsi="Times New Roman" w:cs="Times New Roman"/>
          <w:sz w:val="24"/>
          <w:szCs w:val="24"/>
        </w:rPr>
        <w:instrText xml:space="preserve"> ADDIN ZOTERO_ITEM CSL_CITATION {"citationID":"1HjKRa7m","properties":{"formattedCitation":"\\super 35\\nosupersub{}","plainCitation":"35","noteIndex":0},"citationItems":[{"id":2385,"uris":["http://zotero.org/users/9157699/items/NXDEZ5TP"],"itemData":{"id":2385,"type":"webpage","title":"Bayesian probabilistic matrix factorization using Markov chain Monte Carlo | Proceedings of the 25th international conference on Machine learning","URL":"https://dl.acm.org/doi/10.1145/1390156.1390267","accessed":{"date-parts":[["2023",8,2]]}}}],"schema":"https://github.com/citation-style-language/schema/raw/master/csl-citation.json"} </w:instrText>
      </w:r>
      <w:r w:rsidR="002C548A">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35</w:t>
      </w:r>
      <w:r w:rsidR="002C548A">
        <w:rPr>
          <w:rFonts w:ascii="Times New Roman" w:hAnsi="Times New Roman" w:cs="Times New Roman"/>
          <w:sz w:val="24"/>
          <w:szCs w:val="24"/>
        </w:rPr>
        <w:fldChar w:fldCharType="end"/>
      </w:r>
      <w:r w:rsidRPr="004C52D9">
        <w:rPr>
          <w:rFonts w:ascii="Times New Roman" w:hAnsi="Times New Roman" w:cs="Times New Roman"/>
          <w:sz w:val="24"/>
          <w:szCs w:val="24"/>
        </w:rPr>
        <w:t xml:space="preserve"> Variational inference (VI),</w:t>
      </w:r>
      <w:r w:rsidR="002C548A">
        <w:rPr>
          <w:rFonts w:ascii="Times New Roman" w:hAnsi="Times New Roman" w:cs="Times New Roman"/>
          <w:sz w:val="24"/>
          <w:szCs w:val="24"/>
        </w:rPr>
        <w:fldChar w:fldCharType="begin"/>
      </w:r>
      <w:r w:rsidR="002C548A">
        <w:rPr>
          <w:rFonts w:ascii="Times New Roman" w:hAnsi="Times New Roman" w:cs="Times New Roman"/>
          <w:sz w:val="24"/>
          <w:szCs w:val="24"/>
        </w:rPr>
        <w:instrText xml:space="preserve"> ADDIN ZOTERO_ITEM CSL_CITATION {"citationID":"ifhM8rf6","properties":{"formattedCitation":"\\super 36,37\\nosupersub{}","plainCitation":"36,37","noteIndex":0},"citationItems":[{"id":2389,"uris":["http://zotero.org/users/9157699/items/DRCWJVV3"],"itemData":{"id":2389,"type":"article-journal","abstract":"One of the core problems of modern statistics is to approximate difficult-to-compute probability densities. This problem is especially important in Bayesian statistics, which frames all inference about unknown quantities as a calculation involving the posterior density. In this article, we review variational inference (VI), a method from machine learning that approximates probability densities through optimization. VI has been used in many applications and tends to be faster than classical methods, such as Markov chain Monte Carlo sampling. The idea behind VI is to first posit a family of densities and then to find a member of that family which is close to the target density. Closeness is measured by Kullback–Leibler divergence. We review the ideas behind mean-field variational inference, discuss the special case of VI applied to exponential family models, present a full example with a Bayesian mixture of Gaussians, and derive a variant that uses stochastic optimization to scale up to massive data. We discuss modern research in VI and highlight important open problems. VI is powerful, but it is not yet well understood. Our hope in writing this article is to catalyze statistical research on this class of algorithms. Supplementary materials for this article are available online.","container-title":"Journal of the American Statistical Association","DOI":"10.1080/01621459.2017.1285773","ISSN":"0162-1459","issue":"518","note":"publisher: Taylor &amp; Francis\n_eprint: https://doi.org/10.1080/01621459.2017.1285773","page":"859-877","source":"Taylor and Francis+NEJM","title":"Variational Inference: A Review for Statisticians","title-short":"Variational Inference","volume":"112","author":[{"family":"Blei","given":"David M."},{"family":"Kucukelbir","given":"Alp"},{"family":"McAuliffe","given":"Jon D."}],"issued":{"date-parts":[["2017",4,3]]}}},{"id":2391,"uris":["http://zotero.org/users/9157699/items/9JSUZW32"],"itemData":{"id":2391,"type":"article-journal","abstract":"Many modern unsupervised or semi-supervised machine learning algorithms rely on Bayesian probabilistic models. These models are usually intractable and thus require approximate inference. Variational inference (VI) lets us approximate a high-dimensional Bayesian posterior with a simpler variational distribution by solving an optimization problem. This approach has been successfully applied to various models and large-scale applications. In this review, we give an overview of recent trends in variational inference. We first introduce standard mean field variational inference, then review recent advances focusing on the following aspects: (a) scalable VI, which includes stochastic approximations, (b) generic VI, which extends the applicability of VI to a large class of otherwise intractable models, such as non-conjugate models, (c) accurate VI, which includes variational models beyond the mean field approximation or with atypical divergences, and (d) amortized VI, which implements the inference over local latent variables with inference networks. Finally, we provide a summary of promising future research directions.","container-title":"IEEE Transactions on Pattern Analysis and Machine Intelligence","DOI":"10.1109/TPAMI.2018.2889774","ISSN":"1939-3539","issue":"8","note":"event-title: IEEE Transactions on Pattern Analysis and Machine Intelligence","page":"2008-2026","source":"IEEE Xplore","title":"Advances in Variational Inference","volume":"41","author":[{"family":"Zhang","given":"Cheng"},{"family":"Bütepage","given":"Judith"},{"family":"Kjellström","given":"Hedvig"},{"family":"Mandt","given":"Stephan"}],"issued":{"date-parts":[["2019",8]]}}}],"schema":"https://github.com/citation-style-language/schema/raw/master/csl-citation.json"} </w:instrText>
      </w:r>
      <w:r w:rsidR="002C548A">
        <w:rPr>
          <w:rFonts w:ascii="Times New Roman" w:hAnsi="Times New Roman" w:cs="Times New Roman"/>
          <w:sz w:val="24"/>
          <w:szCs w:val="24"/>
        </w:rPr>
        <w:fldChar w:fldCharType="separate"/>
      </w:r>
      <w:r w:rsidR="002C548A" w:rsidRPr="002C548A">
        <w:rPr>
          <w:rFonts w:ascii="Times New Roman" w:hAnsi="Times New Roman" w:cs="Times New Roman"/>
          <w:kern w:val="0"/>
          <w:sz w:val="24"/>
          <w:szCs w:val="24"/>
          <w:vertAlign w:val="superscript"/>
        </w:rPr>
        <w:t>36,37</w:t>
      </w:r>
      <w:r w:rsidR="002C548A">
        <w:rPr>
          <w:rFonts w:ascii="Times New Roman" w:hAnsi="Times New Roman" w:cs="Times New Roman"/>
          <w:sz w:val="24"/>
          <w:szCs w:val="24"/>
        </w:rPr>
        <w:fldChar w:fldCharType="end"/>
      </w:r>
      <w:r w:rsidRPr="004C52D9">
        <w:rPr>
          <w:rFonts w:ascii="Times New Roman" w:hAnsi="Times New Roman" w:cs="Times New Roman"/>
          <w:sz w:val="24"/>
          <w:szCs w:val="24"/>
        </w:rPr>
        <w:t xml:space="preserve"> Bayes By Backprop (BBB),</w:t>
      </w:r>
      <w:r w:rsidR="00897535">
        <w:rPr>
          <w:rFonts w:ascii="Times New Roman" w:hAnsi="Times New Roman" w:cs="Times New Roman"/>
          <w:sz w:val="24"/>
          <w:szCs w:val="24"/>
        </w:rPr>
        <w:fldChar w:fldCharType="begin"/>
      </w:r>
      <w:r w:rsidR="00897535">
        <w:rPr>
          <w:rFonts w:ascii="Times New Roman" w:hAnsi="Times New Roman" w:cs="Times New Roman"/>
          <w:sz w:val="24"/>
          <w:szCs w:val="24"/>
        </w:rPr>
        <w:instrText xml:space="preserve"> ADDIN ZOTERO_ITEM CSL_CITATION {"citationID":"jyQ020jY","properties":{"formattedCitation":"\\super 38\\nosupersub{}","plainCitation":"38","noteIndex":0},"citationItems":[{"id":2396,"uris":["http://zotero.org/users/9157699/items/WX8L7C2L"],"itemData":{"id":2396,"type":"article","abstract":"We introduce a new, efficient, principled and backpropagation-compatible algorithm for learning a probability distribution on the weights of a neural network, called Bayes by Backprop. It regularises the weights by minimising a compression cost, known as the variational free energy or the expected lower bound on the marginal likelihood. We show that this principled kind of regularisation yields comparable performance to dropout on MNIST classification. We then demonstrate how the learnt uncertainty in the weights can be used to improve generalisation in non-linear regression problems, and how this weight uncertainty can be used to drive the exploration-exploitation trade-off in reinforcement learning.","DOI":"10.48550/arXiv.1505.05424","note":"arXiv:1505.05424 [cs, stat]","number":"arXiv:1505.05424","publisher":"arXiv","source":"arXiv.org","title":"Weight Uncertainty in Neural Networks","URL":"http://arxiv.org/abs/1505.05424","author":[{"family":"Blundell","given":"Charles"},{"family":"Cornebise","given":"Julien"},{"family":"Kavukcuoglu","given":"Koray"},{"family":"Wierstra","given":"Daan"}],"accessed":{"date-parts":[["2023",8,2]]},"issued":{"date-parts":[["2015",5,21]]}}}],"schema":"https://github.com/citation-style-language/schema/raw/master/csl-citation.json"} </w:instrText>
      </w:r>
      <w:r w:rsidR="00897535">
        <w:rPr>
          <w:rFonts w:ascii="Times New Roman" w:hAnsi="Times New Roman" w:cs="Times New Roman"/>
          <w:sz w:val="24"/>
          <w:szCs w:val="24"/>
        </w:rPr>
        <w:fldChar w:fldCharType="separate"/>
      </w:r>
      <w:r w:rsidR="00897535" w:rsidRPr="00897535">
        <w:rPr>
          <w:rFonts w:ascii="Times New Roman" w:hAnsi="Times New Roman" w:cs="Times New Roman"/>
          <w:kern w:val="0"/>
          <w:sz w:val="24"/>
          <w:szCs w:val="24"/>
          <w:vertAlign w:val="superscript"/>
        </w:rPr>
        <w:t>38</w:t>
      </w:r>
      <w:r w:rsidR="00897535">
        <w:rPr>
          <w:rFonts w:ascii="Times New Roman" w:hAnsi="Times New Roman" w:cs="Times New Roman"/>
          <w:sz w:val="24"/>
          <w:szCs w:val="24"/>
        </w:rPr>
        <w:fldChar w:fldCharType="end"/>
      </w:r>
      <w:r w:rsidR="002C548A">
        <w:rPr>
          <w:rFonts w:ascii="Times New Roman" w:hAnsi="Times New Roman" w:cs="Times New Roman"/>
          <w:sz w:val="24"/>
          <w:szCs w:val="24"/>
        </w:rPr>
        <w:t xml:space="preserve"> </w:t>
      </w:r>
      <w:r w:rsidRPr="004C52D9">
        <w:rPr>
          <w:rFonts w:ascii="Times New Roman" w:hAnsi="Times New Roman" w:cs="Times New Roman"/>
          <w:sz w:val="24"/>
          <w:szCs w:val="24"/>
        </w:rPr>
        <w:t>Gaussian Approximation</w:t>
      </w:r>
      <w:r w:rsidR="00897535">
        <w:rPr>
          <w:rFonts w:ascii="Times New Roman" w:hAnsi="Times New Roman" w:cs="Times New Roman"/>
          <w:sz w:val="24"/>
          <w:szCs w:val="24"/>
        </w:rPr>
        <w:fldChar w:fldCharType="begin"/>
      </w:r>
      <w:r w:rsidR="00897535">
        <w:rPr>
          <w:rFonts w:ascii="Times New Roman" w:hAnsi="Times New Roman" w:cs="Times New Roman"/>
          <w:sz w:val="24"/>
          <w:szCs w:val="24"/>
        </w:rPr>
        <w:instrText xml:space="preserve"> ADDIN ZOTERO_ITEM CSL_CITATION {"citationID":"ZsPRRRc9","properties":{"formattedCitation":"\\super 39\\nosupersub{}","plainCitation":"39","noteIndex":0},"citationItems":[{"id":2400,"uris":["http://zotero.org/users/9157699/items/85YQ4BRN"],"itemData":{"id":2400,"type":"paper-conference","abstract":"Gaussian processes (GPs) provide a gold standard for performance in online settings, such as sample-efficient control and black box optimization, where we need to update a posterior distribution as we acquire data in a sequential online setting. However, updating a GP posterior to accommodate even a single new observation after having observed $n$ points incurs at least $\\mathcal{O}(n)$ computations in the exact setting. We show how to use structured kernel interpolation to efficiently reuse computations for constant-time $\\mathcal{O}(1)$ online updates with respect to the number of points $n$, while retaining exact inference. We demonstrate the promise of our approach in a range of online regression and classification settings, Bayesian optimization, and active sampling to reduce error in malaria incidence forecasting.","container-title":"Proceedings of The 24th International Conference on Artificial Intelligence and Statistics","event-title":"International Conference on Artificial Intelligence and Statistics","language":"en","note":"ISSN: 2640-3498","page":"3133-3141","publisher":"PMLR","source":"proceedings.mlr.press","title":"Kernel Interpolation for Scalable Online Gaussian Processes","URL":"https://proceedings.mlr.press/v130/stanton21a.html","author":[{"family":"Stanton","given":"Samuel"},{"family":"Maddox","given":"Wesley"},{"family":"Delbridge","given":"Ian"},{"family":"Wilson","given":"Andrew Gordon"}],"accessed":{"date-parts":[["2023",8,2]]},"issued":{"date-parts":[["2021",3,18]]}}}],"schema":"https://github.com/citation-style-language/schema/raw/master/csl-citation.json"} </w:instrText>
      </w:r>
      <w:r w:rsidR="00897535">
        <w:rPr>
          <w:rFonts w:ascii="Times New Roman" w:hAnsi="Times New Roman" w:cs="Times New Roman"/>
          <w:sz w:val="24"/>
          <w:szCs w:val="24"/>
        </w:rPr>
        <w:fldChar w:fldCharType="separate"/>
      </w:r>
      <w:r w:rsidR="00897535" w:rsidRPr="00897535">
        <w:rPr>
          <w:rFonts w:ascii="Times New Roman" w:hAnsi="Times New Roman" w:cs="Times New Roman"/>
          <w:kern w:val="0"/>
          <w:sz w:val="24"/>
          <w:szCs w:val="24"/>
          <w:vertAlign w:val="superscript"/>
        </w:rPr>
        <w:t>39</w:t>
      </w:r>
      <w:r w:rsidR="00897535">
        <w:rPr>
          <w:rFonts w:ascii="Times New Roman" w:hAnsi="Times New Roman" w:cs="Times New Roman"/>
          <w:sz w:val="24"/>
          <w:szCs w:val="24"/>
        </w:rPr>
        <w:fldChar w:fldCharType="end"/>
      </w:r>
      <w:r w:rsidRPr="004C52D9">
        <w:rPr>
          <w:rFonts w:ascii="Times New Roman" w:hAnsi="Times New Roman" w:cs="Times New Roman"/>
          <w:sz w:val="24"/>
          <w:szCs w:val="24"/>
        </w:rPr>
        <w:t>), ensemble methods (e.g., Deep Ensembles</w:t>
      </w:r>
      <w:r w:rsidR="00F72BDF" w:rsidRPr="004C52D9">
        <w:rPr>
          <w:rFonts w:ascii="Times New Roman" w:hAnsi="Times New Roman" w:cs="Times New Roman"/>
          <w:sz w:val="24"/>
          <w:szCs w:val="24"/>
        </w:rPr>
        <w:t>,</w:t>
      </w:r>
      <w:r w:rsidR="00F72BDF">
        <w:rPr>
          <w:rFonts w:ascii="Times New Roman" w:hAnsi="Times New Roman" w:cs="Times New Roman"/>
          <w:sz w:val="24"/>
          <w:szCs w:val="24"/>
        </w:rPr>
        <w:fldChar w:fldCharType="begin"/>
      </w:r>
      <w:r w:rsidR="00F72BDF">
        <w:rPr>
          <w:rFonts w:ascii="Times New Roman" w:hAnsi="Times New Roman" w:cs="Times New Roman"/>
          <w:sz w:val="24"/>
          <w:szCs w:val="24"/>
        </w:rPr>
        <w:instrText xml:space="preserve"> ADDIN ZOTERO_ITEM CSL_CITATION {"citationID":"WO4R8kLQ","properties":{"formattedCitation":"\\super 40\\nosupersub{}","plainCitation":"40","noteIndex":0},"citationItems":[{"id":2404,"uris":["http://zotero.org/users/9157699/items/U3F9P59L"],"itemData":{"id":2404,"type":"article-journal","abstract":"The inaccuracy of neural network models on inputs that do not stem from the distribution underlying the training data is problematic and at times unrecognized. Uncertainty estimates of model predictions are often based on the variation in predictions produced by a diverse ensemble of models applied to the same input. Here we describe Maximize Overall Diversity (MOD), an approach to improve ensemble-based uncertainty estimates by encouraging larger overall diversity in ensemble predictions across all possible inputs. We apply MOD to regression tasks including 38 Protein-DNA binding datasets, 9 UCI datasets, and the IMDB-Wiki image dataset. We also explore variants that utilize adversarial training techniques and data density estimation. For out-of-distribution test examples, MOD significantly improves predictive performance and uncertainty calibration without sacrificing performance on test data drawn from same distribution as the training data. We also find that in Bayesian optimization tasks, the performance of UCB acquisition is improved via MOD uncertainty estimates.","container-title":"Proceedings of the AAAI Conference on Artificial Intelligence","DOI":"10.1609/aaai.v34i04.5849","ISSN":"2374-3468","issue":"04","language":"en","license":"Copyright (c) 2020 Association for the Advancement of Artificial Intelligence","note":"number: 04","page":"4264-4271","source":"ojs.aaai.org","title":"Maximizing Overall Diversity for Improved Uncertainty Estimates in Deep Ensembles","volume":"34","author":[{"family":"Jain","given":"Siddhartha"},{"family":"Liu","given":"Ge"},{"family":"Mueller","given":"Jonas"},{"family":"Gifford","given":"David"}],"issued":{"date-parts":[["2020",4,3]]}}}],"schema":"https://github.com/citation-style-language/schema/raw/master/csl-citation.json"} </w:instrText>
      </w:r>
      <w:r w:rsidR="00F72BDF">
        <w:rPr>
          <w:rFonts w:ascii="Times New Roman" w:hAnsi="Times New Roman" w:cs="Times New Roman"/>
          <w:sz w:val="24"/>
          <w:szCs w:val="24"/>
        </w:rPr>
        <w:fldChar w:fldCharType="separate"/>
      </w:r>
      <w:r w:rsidR="00F72BDF" w:rsidRPr="00F72BDF">
        <w:rPr>
          <w:rFonts w:ascii="Times New Roman" w:hAnsi="Times New Roman" w:cs="Times New Roman"/>
          <w:kern w:val="0"/>
          <w:sz w:val="24"/>
          <w:szCs w:val="24"/>
          <w:vertAlign w:val="superscript"/>
        </w:rPr>
        <w:t>40</w:t>
      </w:r>
      <w:r w:rsidR="00F72BDF">
        <w:rPr>
          <w:rFonts w:ascii="Times New Roman" w:hAnsi="Times New Roman" w:cs="Times New Roman"/>
          <w:sz w:val="24"/>
          <w:szCs w:val="24"/>
        </w:rPr>
        <w:fldChar w:fldCharType="end"/>
      </w:r>
      <w:r w:rsidRPr="004C52D9">
        <w:rPr>
          <w:rFonts w:ascii="Times New Roman" w:hAnsi="Times New Roman" w:cs="Times New Roman"/>
          <w:sz w:val="24"/>
          <w:szCs w:val="24"/>
        </w:rPr>
        <w:t xml:space="preserve"> Gradient Boosting,</w:t>
      </w:r>
      <w:r w:rsidR="00F72BDF">
        <w:rPr>
          <w:rFonts w:ascii="Times New Roman" w:hAnsi="Times New Roman" w:cs="Times New Roman"/>
          <w:sz w:val="24"/>
          <w:szCs w:val="24"/>
        </w:rPr>
        <w:fldChar w:fldCharType="begin"/>
      </w:r>
      <w:r w:rsidR="00F72BDF">
        <w:rPr>
          <w:rFonts w:ascii="Times New Roman" w:hAnsi="Times New Roman" w:cs="Times New Roman"/>
          <w:sz w:val="24"/>
          <w:szCs w:val="24"/>
        </w:rPr>
        <w:instrText xml:space="preserve"> ADDIN ZOTERO_ITEM CSL_CITATION {"citationID":"NCkBp4tr","properties":{"formattedCitation":"\\super 41\\nosupersub{}","plainCitation":"41","noteIndex":0},"citationItems":[{"id":2407,"uris":["http://zotero.org/users/9157699/items/J3IWLURP"],"itemData":{"id":2407,"type":"paper-conference","abstract":"We present Natural Gradient Boosting (NGBoost), an algorithm for generic probabilistic prediction via gradient boosting. Typical regression models return a point estimate, conditional on covariates, but probabilistic regression models output a full probability distribution over the outcome space, conditional on the covariates. This allows for predictive uncertainty estimation - crucial in applications like healthcare and weather forecasting. NGBoost generalizes gradient boosting to probabilistic regression by treating the parameters of the conditional distribution as targets for a multiparameter boosting algorithm. Furthermore, we show how the Natural Gradient is required to correct the training dynamics of our multiparameter boosting approach. NGBoost can be used with any base learner, any family of distributions with continuous parameters, and any scoring rule. NGBoost matches or exceeds the performance of existing methods for probabilistic prediction while offering additional benefits in flexibility, scalability, and usability. An open-source implementation is available at github.com/stanfordmlgroup/ngboost.","container-title":"Proceedings of the 37th International Conference on Machine Learning","event-title":"International Conference on Machine Learning","language":"en","note":"ISSN: 2640-3498","page":"2690-2700","publisher":"PMLR","source":"proceedings.mlr.press","title":"NGBoost: Natural Gradient Boosting for Probabilistic Prediction","title-short":"NGBoost","URL":"https://proceedings.mlr.press/v119/duan20a.html","author":[{"family":"Duan","given":"Tony"},{"family":"Anand","given":"Avati"},{"family":"Ding","given":"Daisy Yi"},{"family":"Thai","given":"Khanh K."},{"family":"Basu","given":"Sanjay"},{"family":"Ng","given":"Andrew"},{"family":"Schuler","given":"Alejandro"}],"accessed":{"date-parts":[["2023",8,2]]},"issued":{"date-parts":[["2020",11,21]]}}}],"schema":"https://github.com/citation-style-language/schema/raw/master/csl-citation.json"} </w:instrText>
      </w:r>
      <w:r w:rsidR="00F72BDF">
        <w:rPr>
          <w:rFonts w:ascii="Times New Roman" w:hAnsi="Times New Roman" w:cs="Times New Roman"/>
          <w:sz w:val="24"/>
          <w:szCs w:val="24"/>
        </w:rPr>
        <w:fldChar w:fldCharType="separate"/>
      </w:r>
      <w:r w:rsidR="00F72BDF" w:rsidRPr="00F72BDF">
        <w:rPr>
          <w:rFonts w:ascii="Times New Roman" w:hAnsi="Times New Roman" w:cs="Times New Roman"/>
          <w:kern w:val="0"/>
          <w:sz w:val="24"/>
          <w:szCs w:val="24"/>
          <w:vertAlign w:val="superscript"/>
        </w:rPr>
        <w:t>41</w:t>
      </w:r>
      <w:r w:rsidR="00F72BDF">
        <w:rPr>
          <w:rFonts w:ascii="Times New Roman" w:hAnsi="Times New Roman" w:cs="Times New Roman"/>
          <w:sz w:val="24"/>
          <w:szCs w:val="24"/>
        </w:rPr>
        <w:fldChar w:fldCharType="end"/>
      </w:r>
      <w:r w:rsidRPr="004C52D9">
        <w:rPr>
          <w:rFonts w:ascii="Times New Roman" w:hAnsi="Times New Roman" w:cs="Times New Roman"/>
          <w:sz w:val="24"/>
          <w:szCs w:val="24"/>
        </w:rPr>
        <w:t xml:space="preserve"> Bagging,</w:t>
      </w:r>
      <w:r w:rsidR="00F72BDF">
        <w:rPr>
          <w:rFonts w:ascii="Times New Roman" w:hAnsi="Times New Roman" w:cs="Times New Roman"/>
          <w:sz w:val="24"/>
          <w:szCs w:val="24"/>
        </w:rPr>
        <w:fldChar w:fldCharType="begin"/>
      </w:r>
      <w:r w:rsidR="00F72BDF">
        <w:rPr>
          <w:rFonts w:ascii="Times New Roman" w:hAnsi="Times New Roman" w:cs="Times New Roman"/>
          <w:sz w:val="24"/>
          <w:szCs w:val="24"/>
        </w:rPr>
        <w:instrText xml:space="preserve"> ADDIN ZOTERO_ITEM CSL_CITATION {"citationID":"bPuPX3Af","properties":{"formattedCitation":"\\super 42\\nosupersub{}","plainCitation":"42","noteIndex":0},"citationItems":[{"id":2409,"uris":["http://zotero.org/users/9157699/items/AZD8ZV5R"],"itemData":{"id":2409,"type":"article-journal","abstract":"Bagging predictors is a method for generating multiple versions of a predictor and using these to get an aggregated predictor. The aggregation averages over the versions when predicting a numerical outcome and does a plurality vote when predicting a class. The multiple versions are formed by making bootstrap replicates of the learning set and using these as new learning sets. Tests on real and simulated data sets using classification and regression trees and subset selection in linear regression show that bagging can give substantial gains in accuracy. The vital element is the instability of the prediction method. If perturbing the learning set can cause significant changes in the predictor constructed, then bagging can improve accuracy.","container-title":"Machine Learning","DOI":"10.1023/A:1018054314350","ISSN":"1573-0565","issue":"2","journalAbbreviation":"Machine Learning","language":"en","page":"123-140","source":"Springer Link","title":"Bagging Predictors","volume":"24","author":[{"family":"Breiman","given":"Leo"}],"issued":{"date-parts":[["1996",8,1]]}}}],"schema":"https://github.com/citation-style-language/schema/raw/master/csl-citation.json"} </w:instrText>
      </w:r>
      <w:r w:rsidR="00F72BDF">
        <w:rPr>
          <w:rFonts w:ascii="Times New Roman" w:hAnsi="Times New Roman" w:cs="Times New Roman"/>
          <w:sz w:val="24"/>
          <w:szCs w:val="24"/>
        </w:rPr>
        <w:fldChar w:fldCharType="separate"/>
      </w:r>
      <w:r w:rsidR="00F72BDF" w:rsidRPr="00F72BDF">
        <w:rPr>
          <w:rFonts w:ascii="Times New Roman" w:hAnsi="Times New Roman" w:cs="Times New Roman"/>
          <w:kern w:val="0"/>
          <w:sz w:val="24"/>
          <w:szCs w:val="24"/>
          <w:vertAlign w:val="superscript"/>
        </w:rPr>
        <w:t>42</w:t>
      </w:r>
      <w:r w:rsidR="00F72BDF">
        <w:rPr>
          <w:rFonts w:ascii="Times New Roman" w:hAnsi="Times New Roman" w:cs="Times New Roman"/>
          <w:sz w:val="24"/>
          <w:szCs w:val="24"/>
        </w:rPr>
        <w:fldChar w:fldCharType="end"/>
      </w:r>
      <w:r w:rsidRPr="004C52D9">
        <w:rPr>
          <w:rFonts w:ascii="Times New Roman" w:hAnsi="Times New Roman" w:cs="Times New Roman"/>
          <w:sz w:val="24"/>
          <w:szCs w:val="24"/>
        </w:rPr>
        <w:t xml:space="preserve"> Bayesian Model Averaging (BMA)</w:t>
      </w:r>
      <w:r w:rsidR="00AC541C">
        <w:rPr>
          <w:rFonts w:ascii="Times New Roman" w:hAnsi="Times New Roman" w:cs="Times New Roman"/>
          <w:sz w:val="24"/>
          <w:szCs w:val="24"/>
        </w:rPr>
        <w:fldChar w:fldCharType="begin"/>
      </w:r>
      <w:r w:rsidR="00AC541C">
        <w:rPr>
          <w:rFonts w:ascii="Times New Roman" w:hAnsi="Times New Roman" w:cs="Times New Roman"/>
          <w:sz w:val="24"/>
          <w:szCs w:val="24"/>
        </w:rPr>
        <w:instrText xml:space="preserve"> ADDIN ZOTERO_ITEM CSL_CITATION {"citationID":"8wODtNe4","properties":{"formattedCitation":"\\super 43\\nosupersub{}","plainCitation":"43","noteIndex":0},"citationItems":[{"id":2414,"uris":["http://zotero.org/users/9157699/items/D82JLSY7"],"itemData":{"id":2414,"type":"paper-conference","abstract":"Reliable uncertainty estimates for both the weights and the predictions of deep learning models have proven hard to come by due to the complexity and size of the models used. In many other areas, Bayesian methods are used to capture uncertainty estimates and incorporate prior knowledge into the modelling process; however, they often suffer from scalability issues when applied to deep learning models. We extend the recently developed stochastic weight averaging (SWA) procedure in a simple and computationally efficient manner, creating Gaussian approximations to the true posterior distribution. This procedure, termed SWA-Gaussian (SWAG), produces reliable uncertainty estimates, while maintaining accuracy in Bayesian model averaging. Code is available at https://github. com/wjmaddox/swa_uncertainties.","source":"Semantic Scholar","title":"Fast Uncertainty Estimates and Bayesian Model Averaging of DNNs","URL":"https://www.semanticscholar.org/paper/Fast-Uncertainty-Estimates-and-Bayesian-Model-of-Maddox-Garipov/4fc07d53f588c2a06bb85af2907b4d79880f25bd","author":[{"family":"Maddox","given":"Wesley J."},{"family":"Garipov","given":"T."},{"family":"Izmailov","given":"Pavel"},{"family":"Vetrov","given":"D."},{"family":"Wilson","given":"A."}],"accessed":{"date-parts":[["2023",8,2]]},"issued":{"date-parts":[["2018"]]}}}],"schema":"https://github.com/citation-style-language/schema/raw/master/csl-citation.json"} </w:instrText>
      </w:r>
      <w:r w:rsidR="00AC541C">
        <w:rPr>
          <w:rFonts w:ascii="Times New Roman" w:hAnsi="Times New Roman" w:cs="Times New Roman"/>
          <w:sz w:val="24"/>
          <w:szCs w:val="24"/>
        </w:rPr>
        <w:fldChar w:fldCharType="separate"/>
      </w:r>
      <w:r w:rsidR="00AC541C" w:rsidRPr="00AC541C">
        <w:rPr>
          <w:rFonts w:ascii="Times New Roman" w:hAnsi="Times New Roman" w:cs="Times New Roman"/>
          <w:kern w:val="0"/>
          <w:sz w:val="24"/>
          <w:szCs w:val="24"/>
          <w:vertAlign w:val="superscript"/>
        </w:rPr>
        <w:t>43</w:t>
      </w:r>
      <w:r w:rsidR="00AC541C">
        <w:rPr>
          <w:rFonts w:ascii="Times New Roman" w:hAnsi="Times New Roman" w:cs="Times New Roman"/>
          <w:sz w:val="24"/>
          <w:szCs w:val="24"/>
        </w:rPr>
        <w:fldChar w:fldCharType="end"/>
      </w:r>
      <w:r w:rsidRPr="004C52D9">
        <w:rPr>
          <w:rFonts w:ascii="Times New Roman" w:hAnsi="Times New Roman" w:cs="Times New Roman"/>
          <w:sz w:val="24"/>
          <w:szCs w:val="24"/>
        </w:rPr>
        <w:t>), and conformal prediction methods (e.g., Inductive Conformal Prediction (ICP),</w:t>
      </w:r>
      <w:r w:rsidR="00AC541C">
        <w:rPr>
          <w:rFonts w:ascii="Times New Roman" w:hAnsi="Times New Roman" w:cs="Times New Roman"/>
          <w:sz w:val="24"/>
          <w:szCs w:val="24"/>
        </w:rPr>
        <w:fldChar w:fldCharType="begin"/>
      </w:r>
      <w:r w:rsidR="00AC541C">
        <w:rPr>
          <w:rFonts w:ascii="Times New Roman" w:hAnsi="Times New Roman" w:cs="Times New Roman"/>
          <w:sz w:val="24"/>
          <w:szCs w:val="24"/>
        </w:rPr>
        <w:instrText xml:space="preserve"> ADDIN ZOTERO_ITEM CSL_CITATION {"citationID":"wnR37AOK","properties":{"formattedCitation":"\\super 44\\nosupersub{}","plainCitation":"44","noteIndex":0},"citationItems":[{"id":2418,"uris":["http://zotero.org/users/9157699/items/J77IFWK8"],"itemData":{"id":2418,"type":"article","abstract":"Inductive Conformal Prediction (ICP) is a set of distribution-free and model agnostic algorithms devised to predict with a user-defined confidence with coverage guarantee. Instead of having point predictions, i.e., a real number in the case of regression or a single class in multi class classification, models calibrated using ICP output an interval or a set of classes, respectively. ICP takes special importance in high-risk settings where we want the true output to belong to the prediction set with high probability. As an example, a classification model might output that given a magnetic resonance image a patient has no latent diseases to report. However, this model output was based on the most likely class, the second most likely class might tell that the patient has a 15% chance of brain tumor or other severe disease and therefore further exams should be conducted. Using ICP is therefore way more informative and we believe that should be the standard way of producing forecasts. This paper is a hands-on introduction, this means that we will provide examples as we introduce the theory.","DOI":"10.48550/arXiv.2206.11810","note":"arXiv:2206.11810 [cs, stat]","number":"arXiv:2206.11810","publisher":"arXiv","source":"arXiv.org","title":"Inductive Conformal Prediction: A Straightforward Introduction with Examples in Python","title-short":"Inductive Conformal Prediction","URL":"http://arxiv.org/abs/2206.11810","author":[{"family":"Sousa","given":"Martim"}],"accessed":{"date-parts":[["2023",8,2]]},"issued":{"date-parts":[["2022",7,1]]}}}],"schema":"https://github.com/citation-style-language/schema/raw/master/csl-citation.json"} </w:instrText>
      </w:r>
      <w:r w:rsidR="00AC541C">
        <w:rPr>
          <w:rFonts w:ascii="Times New Roman" w:hAnsi="Times New Roman" w:cs="Times New Roman"/>
          <w:sz w:val="24"/>
          <w:szCs w:val="24"/>
        </w:rPr>
        <w:fldChar w:fldCharType="separate"/>
      </w:r>
      <w:r w:rsidR="00AC541C" w:rsidRPr="00AC541C">
        <w:rPr>
          <w:rFonts w:ascii="Times New Roman" w:hAnsi="Times New Roman" w:cs="Times New Roman"/>
          <w:kern w:val="0"/>
          <w:sz w:val="24"/>
          <w:szCs w:val="24"/>
          <w:vertAlign w:val="superscript"/>
        </w:rPr>
        <w:t>44</w:t>
      </w:r>
      <w:r w:rsidR="00AC541C">
        <w:rPr>
          <w:rFonts w:ascii="Times New Roman" w:hAnsi="Times New Roman" w:cs="Times New Roman"/>
          <w:sz w:val="24"/>
          <w:szCs w:val="24"/>
        </w:rPr>
        <w:fldChar w:fldCharType="end"/>
      </w:r>
      <w:r w:rsidRPr="004C52D9">
        <w:rPr>
          <w:rFonts w:ascii="Times New Roman" w:hAnsi="Times New Roman" w:cs="Times New Roman"/>
          <w:sz w:val="24"/>
          <w:szCs w:val="24"/>
        </w:rPr>
        <w:t xml:space="preserve"> </w:t>
      </w:r>
      <w:proofErr w:type="spellStart"/>
      <w:r w:rsidRPr="004C52D9">
        <w:rPr>
          <w:rFonts w:ascii="Times New Roman" w:hAnsi="Times New Roman" w:cs="Times New Roman"/>
          <w:sz w:val="24"/>
          <w:szCs w:val="24"/>
        </w:rPr>
        <w:t>Transductive</w:t>
      </w:r>
      <w:proofErr w:type="spellEnd"/>
      <w:r w:rsidRPr="004C52D9">
        <w:rPr>
          <w:rFonts w:ascii="Times New Roman" w:hAnsi="Times New Roman" w:cs="Times New Roman"/>
          <w:sz w:val="24"/>
          <w:szCs w:val="24"/>
        </w:rPr>
        <w:t xml:space="preserve"> Conformal Prediction (TCP)</w:t>
      </w:r>
      <w:r w:rsidR="00A65891">
        <w:rPr>
          <w:rFonts w:ascii="Times New Roman" w:hAnsi="Times New Roman" w:cs="Times New Roman"/>
          <w:sz w:val="24"/>
          <w:szCs w:val="24"/>
        </w:rPr>
        <w:fldChar w:fldCharType="begin"/>
      </w:r>
      <w:r w:rsidR="00A65891">
        <w:rPr>
          <w:rFonts w:ascii="Times New Roman" w:hAnsi="Times New Roman" w:cs="Times New Roman"/>
          <w:sz w:val="24"/>
          <w:szCs w:val="24"/>
        </w:rPr>
        <w:instrText xml:space="preserve"> ADDIN ZOTERO_ITEM CSL_CITATION {"citationID":"PkvCfcYY","properties":{"formattedCitation":"\\super 45\\nosupersub{}","plainCitation":"45","noteIndex":0},"citationItems":[{"id":2422,"uris":["http://zotero.org/users/9157699/items/WERVIZ7B"],"itemData":{"id":2422,"type":"paper-conference","abstract":"This paper discusses a transductive version of conformal predictors. This version is computationally inefficient for big test sets, but it turns out that apparently crude “Bonferroni predictors” are about as good in their information efficiency and vastly superior in computational efficiency.","collection-title":"IFIP Advances in Information and Communication Technology","container-title":"Artificial Intelligence Applications and Innovations","DOI":"10.1007/978-3-642-41142-7_36","event-place":"Berlin, Heidelberg","ISBN":"978-3-642-41142-7","language":"en","page":"348-360","publisher":"Springer","publisher-place":"Berlin, Heidelberg","source":"Springer Link","title":"Transductive conformal predictors","author":[{"family":"Vovk","given":"Vladimir"}],"editor":[{"family":"Papadopoulos","given":"Harris"},{"family":"Andreou","given":"Andreas S."},{"family":"Iliadis","given":"Lazaros"},{"family":"Maglogiannis","given":"Ilias"}],"issued":{"date-parts":[["2013"]]}}}],"schema":"https://github.com/citation-style-language/schema/raw/master/csl-citation.json"} </w:instrText>
      </w:r>
      <w:r w:rsidR="00A65891">
        <w:rPr>
          <w:rFonts w:ascii="Times New Roman" w:hAnsi="Times New Roman" w:cs="Times New Roman"/>
          <w:sz w:val="24"/>
          <w:szCs w:val="24"/>
        </w:rPr>
        <w:fldChar w:fldCharType="separate"/>
      </w:r>
      <w:r w:rsidR="00A65891" w:rsidRPr="00A65891">
        <w:rPr>
          <w:rFonts w:ascii="Times New Roman" w:hAnsi="Times New Roman" w:cs="Times New Roman"/>
          <w:kern w:val="0"/>
          <w:sz w:val="24"/>
          <w:szCs w:val="24"/>
          <w:vertAlign w:val="superscript"/>
        </w:rPr>
        <w:t>45</w:t>
      </w:r>
      <w:r w:rsidR="00A65891">
        <w:rPr>
          <w:rFonts w:ascii="Times New Roman" w:hAnsi="Times New Roman" w:cs="Times New Roman"/>
          <w:sz w:val="24"/>
          <w:szCs w:val="24"/>
        </w:rPr>
        <w:fldChar w:fldCharType="end"/>
      </w:r>
      <w:r w:rsidRPr="004C52D9">
        <w:rPr>
          <w:rFonts w:ascii="Times New Roman" w:hAnsi="Times New Roman" w:cs="Times New Roman"/>
          <w:sz w:val="24"/>
          <w:szCs w:val="24"/>
        </w:rPr>
        <w:t>). Amini et al.</w:t>
      </w:r>
      <w:r w:rsidR="00A65891">
        <w:rPr>
          <w:rFonts w:ascii="Times New Roman" w:hAnsi="Times New Roman" w:cs="Times New Roman"/>
          <w:sz w:val="24"/>
          <w:szCs w:val="24"/>
        </w:rPr>
        <w:fldChar w:fldCharType="begin"/>
      </w:r>
      <w:r w:rsidR="00A65891">
        <w:rPr>
          <w:rFonts w:ascii="Times New Roman" w:hAnsi="Times New Roman" w:cs="Times New Roman"/>
          <w:sz w:val="24"/>
          <w:szCs w:val="24"/>
        </w:rPr>
        <w:instrText xml:space="preserve"> ADDIN ZOTERO_ITEM CSL_CITATION {"citationID":"eocqbnT6","properties":{"formattedCitation":"\\super 46,47\\nosupersub{}","plainCitation":"46,47","noteIndex":0},"citationItems":[{"id":1465,"uris":["http://zotero.org/users/9157699/items/97XLAKGR"],"itemData":{"id":1465,"type":"article","abstract":"Deterministic neural networks (NNs) are increasingly being deployed in safety critical domains, where calibrated, robust, and efﬁcient measures of uncertainty are crucial. In this paper, we propose a novel method for training non-Bayesian NNs to estimate a continuous target as well as its associated evidence in order to learn both aleatoric and epistemic uncertainty. We accomplish this by placing evidential priors over the original Gaussian likelihood function and training the NN to infer the hyperparameters of the evidential distribution. We additionally impose priors during training such that the model is regularized when its predicted evidence is not aligned with the correct output. Our method does not rely on sampling during inference or on out-of-distribution (OOD) examples for training, thus enabling efﬁcient and scalable uncertainty learning. We demonstrate learning well-calibrated measures of uncertainty on various benchmarks, scaling to complex computer vision tasks, as well as robustness to adversarial and OOD test samples.","language":"en","note":"arXiv:1910.02600 [cs, stat]","number":"arXiv:1910.02600","publisher":"arXiv","source":"arXiv.org","title":"Deep Evidential Regression","URL":"http://arxiv.org/abs/1910.02600","author":[{"family":"Amini","given":"Alexander"},{"family":"Schwarting","given":"Wilko"},{"family":"Soleimany","given":"Ava"},{"family":"Rus","given":"Daniela"}],"accessed":{"date-parts":[["2023",1,19]]},"issued":{"date-parts":[["2020",11,24]]}}},{"id":1546,"uris":["http://zotero.org/users/9157699/items/EWAFI9HZ"],"itemData":{"id":1546,"type":"article","abstract":"Deterministic neural nets have been shown to learn effective predictors on a wide range of machine learning problems. However, as the standard approach is to train the network to minimize a prediction loss, the resultant model remains ignorant to its prediction confidence. Orthogonally to Bayesian neural nets that indirectly infer prediction uncertainty through weight uncertainties, we propose explicit modeling of the same using the theory of subjective logic. By placing a Dirichlet distribution on the class probabilities, we treat predictions of a neural net as subjective opinions and learn the function that collects the evidence leading to these opinions by a deterministic neural net from data. The resultant predictor for a multi-class classification problem is another Dirichlet distribution whose parameters are set by the continuous output of a neural net. We provide a preliminary analysis on how the peculiarities of our new loss function drive improved uncertainty estimation. We observe that our method achieves unprecedented success on detection of out-of-distribution queries and endurance against adversarial perturbations.","note":"arXiv:1806.01768 [cs, stat]","number":"arXiv:1806.01768","publisher":"arXiv","source":"arXiv.org","title":"Evidential Deep Learning to Quantify Classification Uncertainty","URL":"http://arxiv.org/abs/1806.01768","author":[{"family":"Sensoy","given":"Murat"},{"family":"Kaplan","given":"Lance"},{"family":"Kandemir","given":"Melih"}],"accessed":{"date-parts":[["2023",2,20]]},"issued":{"date-parts":[["2018",10,31]]}}}],"schema":"https://github.com/citation-style-language/schema/raw/master/csl-citation.json"} </w:instrText>
      </w:r>
      <w:r w:rsidR="00A65891">
        <w:rPr>
          <w:rFonts w:ascii="Times New Roman" w:hAnsi="Times New Roman" w:cs="Times New Roman"/>
          <w:sz w:val="24"/>
          <w:szCs w:val="24"/>
        </w:rPr>
        <w:fldChar w:fldCharType="separate"/>
      </w:r>
      <w:r w:rsidR="00A65891" w:rsidRPr="00A65891">
        <w:rPr>
          <w:rFonts w:ascii="Times New Roman" w:hAnsi="Times New Roman" w:cs="Times New Roman"/>
          <w:kern w:val="0"/>
          <w:sz w:val="24"/>
          <w:szCs w:val="24"/>
          <w:vertAlign w:val="superscript"/>
        </w:rPr>
        <w:t>46,47</w:t>
      </w:r>
      <w:r w:rsidR="00A65891">
        <w:rPr>
          <w:rFonts w:ascii="Times New Roman" w:hAnsi="Times New Roman" w:cs="Times New Roman"/>
          <w:sz w:val="24"/>
          <w:szCs w:val="24"/>
        </w:rPr>
        <w:fldChar w:fldCharType="end"/>
      </w:r>
      <w:r w:rsidRPr="004C52D9">
        <w:rPr>
          <w:rFonts w:ascii="Times New Roman" w:hAnsi="Times New Roman" w:cs="Times New Roman"/>
          <w:sz w:val="24"/>
          <w:szCs w:val="24"/>
        </w:rPr>
        <w:t xml:space="preserve"> proposed an efficient Evidential Deep Learning method without sampling, making it </w:t>
      </w:r>
      <w:r w:rsidRPr="004C52D9">
        <w:rPr>
          <w:rFonts w:ascii="Times New Roman" w:hAnsi="Times New Roman" w:cs="Times New Roman"/>
          <w:sz w:val="24"/>
          <w:szCs w:val="24"/>
        </w:rPr>
        <w:lastRenderedPageBreak/>
        <w:t>an attractive alternative. These methods have been explored in various applications, including molecular property prediction, target prediction, and chemical reaction prediction, showing promising potential. However, the practical effectiveness of UQ methods still requires further evaluation and validation.</w:t>
      </w:r>
    </w:p>
    <w:p w14:paraId="23EB6FD8" w14:textId="11FB6A9E" w:rsidR="00615E84" w:rsidRDefault="008C139C" w:rsidP="005C60FF">
      <w:pPr>
        <w:spacing w:beforeLines="50" w:before="156" w:afterLines="50" w:after="156" w:line="276" w:lineRule="auto"/>
        <w:ind w:firstLineChars="100" w:firstLine="240"/>
        <w:rPr>
          <w:rFonts w:ascii="Times New Roman" w:hAnsi="Times New Roman" w:cs="Times New Roman"/>
          <w:sz w:val="24"/>
          <w:szCs w:val="24"/>
        </w:rPr>
      </w:pPr>
      <w:r w:rsidRPr="004C52D9">
        <w:rPr>
          <w:rFonts w:ascii="Times New Roman" w:hAnsi="Times New Roman" w:cs="Times New Roman"/>
          <w:sz w:val="24"/>
          <w:szCs w:val="24"/>
        </w:rPr>
        <w:t>This study aim</w:t>
      </w:r>
      <w:r>
        <w:rPr>
          <w:rFonts w:ascii="Times New Roman" w:hAnsi="Times New Roman" w:cs="Times New Roman"/>
          <w:sz w:val="24"/>
          <w:szCs w:val="24"/>
        </w:rPr>
        <w:t>s</w:t>
      </w:r>
      <w:r w:rsidRPr="004C52D9">
        <w:rPr>
          <w:rFonts w:ascii="Times New Roman" w:hAnsi="Times New Roman" w:cs="Times New Roman"/>
          <w:sz w:val="24"/>
          <w:szCs w:val="24"/>
        </w:rPr>
        <w:t xml:space="preserve"> to establish a novel </w:t>
      </w:r>
      <w:r>
        <w:rPr>
          <w:rFonts w:ascii="Times New Roman" w:hAnsi="Times New Roman" w:cs="Times New Roman"/>
          <w:sz w:val="24"/>
          <w:szCs w:val="24"/>
        </w:rPr>
        <w:t>uncertainty-guided</w:t>
      </w:r>
      <w:r w:rsidRPr="004C52D9">
        <w:rPr>
          <w:rFonts w:ascii="Times New Roman" w:hAnsi="Times New Roman" w:cs="Times New Roman"/>
          <w:sz w:val="24"/>
          <w:szCs w:val="24"/>
        </w:rPr>
        <w:t xml:space="preserve"> DL method for </w:t>
      </w:r>
      <w:r>
        <w:rPr>
          <w:rFonts w:ascii="Times New Roman" w:hAnsi="Times New Roman" w:cs="Times New Roman"/>
          <w:sz w:val="24"/>
          <w:szCs w:val="24"/>
        </w:rPr>
        <w:t>screen</w:t>
      </w:r>
      <w:r w:rsidRPr="004C52D9">
        <w:rPr>
          <w:rFonts w:ascii="Times New Roman" w:hAnsi="Times New Roman" w:cs="Times New Roman"/>
          <w:sz w:val="24"/>
          <w:szCs w:val="24"/>
        </w:rPr>
        <w:t>ing CYP3A4 inhibit</w:t>
      </w:r>
      <w:r>
        <w:rPr>
          <w:rFonts w:ascii="Times New Roman" w:hAnsi="Times New Roman" w:cs="Times New Roman"/>
          <w:sz w:val="24"/>
          <w:szCs w:val="24"/>
        </w:rPr>
        <w:t>or</w:t>
      </w:r>
      <w:r w:rsidRPr="004C52D9">
        <w:rPr>
          <w:rFonts w:ascii="Times New Roman" w:hAnsi="Times New Roman" w:cs="Times New Roman"/>
          <w:sz w:val="24"/>
          <w:szCs w:val="24"/>
        </w:rPr>
        <w:t xml:space="preserve">s. </w:t>
      </w:r>
      <w:proofErr w:type="gramStart"/>
      <w:r w:rsidRPr="00586734">
        <w:rPr>
          <w:rFonts w:ascii="Times New Roman" w:hAnsi="Times New Roman" w:cs="Times New Roman"/>
          <w:sz w:val="24"/>
          <w:szCs w:val="24"/>
        </w:rPr>
        <w:t>In particular</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586734">
        <w:rPr>
          <w:rFonts w:ascii="Times New Roman" w:hAnsi="Times New Roman" w:cs="Times New Roman"/>
          <w:sz w:val="24"/>
          <w:szCs w:val="24"/>
        </w:rPr>
        <w:t>we</w:t>
      </w:r>
      <w:proofErr w:type="gramEnd"/>
      <w:r w:rsidRPr="00586734">
        <w:rPr>
          <w:rFonts w:ascii="Times New Roman" w:hAnsi="Times New Roman" w:cs="Times New Roman"/>
          <w:sz w:val="24"/>
          <w:szCs w:val="24"/>
        </w:rPr>
        <w:t xml:space="preserve"> address the following issues to make the </w:t>
      </w:r>
      <w:r>
        <w:rPr>
          <w:rFonts w:ascii="Times New Roman" w:hAnsi="Times New Roman" w:cs="Times New Roman" w:hint="eastAsia"/>
          <w:sz w:val="24"/>
          <w:szCs w:val="24"/>
        </w:rPr>
        <w:t>approach</w:t>
      </w:r>
      <w:r>
        <w:rPr>
          <w:rFonts w:ascii="Times New Roman" w:hAnsi="Times New Roman" w:cs="Times New Roman"/>
          <w:sz w:val="24"/>
          <w:szCs w:val="24"/>
        </w:rPr>
        <w:t xml:space="preserve"> </w:t>
      </w:r>
      <w:r w:rsidRPr="00586734">
        <w:rPr>
          <w:rFonts w:ascii="Times New Roman" w:hAnsi="Times New Roman" w:cs="Times New Roman"/>
          <w:sz w:val="24"/>
          <w:szCs w:val="24"/>
        </w:rPr>
        <w:t xml:space="preserve">in practice. </w:t>
      </w:r>
      <w:r>
        <w:rPr>
          <w:rFonts w:ascii="Times New Roman" w:hAnsi="Times New Roman" w:cs="Times New Roman" w:hint="eastAsia"/>
          <w:sz w:val="24"/>
          <w:szCs w:val="24"/>
        </w:rPr>
        <w:t>We</w:t>
      </w:r>
      <w:r>
        <w:rPr>
          <w:rFonts w:ascii="Times New Roman" w:hAnsi="Times New Roman" w:cs="Times New Roman"/>
          <w:sz w:val="24"/>
          <w:szCs w:val="24"/>
        </w:rPr>
        <w:t xml:space="preserve"> first </w:t>
      </w:r>
      <w:r>
        <w:rPr>
          <w:rFonts w:ascii="Times New Roman" w:hAnsi="Times New Roman" w:cs="Times New Roman" w:hint="eastAsia"/>
          <w:sz w:val="24"/>
          <w:szCs w:val="24"/>
        </w:rPr>
        <w:t>collect</w:t>
      </w:r>
      <w:r>
        <w:rPr>
          <w:rFonts w:ascii="Times New Roman" w:hAnsi="Times New Roman" w:cs="Times New Roman"/>
          <w:sz w:val="24"/>
          <w:szCs w:val="24"/>
        </w:rPr>
        <w:t xml:space="preserve">ed </w:t>
      </w:r>
      <w:r>
        <w:rPr>
          <w:rFonts w:ascii="Times New Roman" w:hAnsi="Times New Roman" w:cs="Times New Roman" w:hint="eastAsia"/>
          <w:sz w:val="24"/>
          <w:szCs w:val="24"/>
        </w:rPr>
        <w:t>and</w:t>
      </w:r>
      <w:r>
        <w:rPr>
          <w:rFonts w:ascii="Times New Roman" w:hAnsi="Times New Roman" w:cs="Times New Roman"/>
          <w:sz w:val="24"/>
          <w:szCs w:val="24"/>
        </w:rPr>
        <w:t xml:space="preserve"> integrated a</w:t>
      </w:r>
      <w:r w:rsidRPr="004C52D9">
        <w:rPr>
          <w:rFonts w:ascii="Times New Roman" w:hAnsi="Times New Roman" w:cs="Times New Roman"/>
          <w:sz w:val="24"/>
          <w:szCs w:val="24"/>
        </w:rPr>
        <w:t xml:space="preserve"> comprehensive dataset of </w:t>
      </w:r>
      <w:r w:rsidRPr="004C52D9">
        <w:rPr>
          <w:rFonts w:ascii="Times New Roman" w:eastAsia="宋体" w:hAnsi="Times New Roman" w:cs="Times New Roman"/>
          <w:sz w:val="24"/>
          <w:szCs w:val="24"/>
        </w:rPr>
        <w:t>CYP3A4 inhibitors</w:t>
      </w:r>
      <w:r>
        <w:rPr>
          <w:rFonts w:ascii="Times New Roman" w:eastAsia="宋体" w:hAnsi="Times New Roman" w:cs="Times New Roman"/>
          <w:sz w:val="24"/>
          <w:szCs w:val="24"/>
        </w:rPr>
        <w:t xml:space="preserve"> involving </w:t>
      </w:r>
      <w:r w:rsidRPr="004C52D9">
        <w:rPr>
          <w:rFonts w:ascii="Times New Roman" w:eastAsia="宋体" w:hAnsi="Times New Roman" w:cs="Times New Roman"/>
          <w:sz w:val="24"/>
          <w:szCs w:val="24"/>
        </w:rPr>
        <w:t xml:space="preserve">27,045 compounds with classification labels or regression values. Considering that accurate </w:t>
      </w:r>
      <w:r>
        <w:rPr>
          <w:rFonts w:ascii="Times New Roman" w:eastAsia="宋体" w:hAnsi="Times New Roman" w:cs="Times New Roman"/>
          <w:sz w:val="24"/>
          <w:szCs w:val="24"/>
        </w:rPr>
        <w:t>prediction</w:t>
      </w:r>
      <w:r w:rsidRPr="004C52D9">
        <w:rPr>
          <w:rFonts w:ascii="Times New Roman" w:eastAsia="宋体" w:hAnsi="Times New Roman" w:cs="Times New Roman"/>
          <w:sz w:val="24"/>
          <w:szCs w:val="24"/>
        </w:rPr>
        <w:t xml:space="preserve"> of inhibitory intensity</w:t>
      </w:r>
      <w:r w:rsidRPr="004C52D9">
        <w:rPr>
          <w:rFonts w:ascii="Times New Roman" w:hAnsi="Times New Roman" w:cs="Times New Roman"/>
        </w:rPr>
        <w:t xml:space="preserve"> </w:t>
      </w:r>
      <w:r w:rsidRPr="004C52D9">
        <w:rPr>
          <w:rFonts w:ascii="Times New Roman" w:eastAsia="宋体" w:hAnsi="Times New Roman" w:cs="Times New Roman"/>
          <w:sz w:val="24"/>
          <w:szCs w:val="24"/>
        </w:rPr>
        <w:t xml:space="preserve">can provide better guidance for experiments in practical applications, we </w:t>
      </w:r>
      <w:r w:rsidRPr="007171AE">
        <w:rPr>
          <w:rFonts w:ascii="Times New Roman" w:eastAsia="宋体" w:hAnsi="Times New Roman" w:cs="Times New Roman"/>
          <w:sz w:val="24"/>
          <w:szCs w:val="24"/>
        </w:rPr>
        <w:t>intend</w:t>
      </w:r>
      <w:r w:rsidRPr="00E32E19">
        <w:rPr>
          <w:rFonts w:ascii="Times New Roman" w:eastAsia="宋体" w:hAnsi="Times New Roman" w:cs="Times New Roman"/>
          <w:color w:val="FF0000"/>
          <w:sz w:val="24"/>
          <w:szCs w:val="24"/>
        </w:rPr>
        <w:t xml:space="preserve"> </w:t>
      </w:r>
      <w:r w:rsidRPr="004C52D9">
        <w:rPr>
          <w:rFonts w:ascii="Times New Roman" w:eastAsia="宋体" w:hAnsi="Times New Roman" w:cs="Times New Roman"/>
          <w:sz w:val="24"/>
          <w:szCs w:val="24"/>
        </w:rPr>
        <w:t xml:space="preserve">to build a regression model that incorporates the classification </w:t>
      </w:r>
      <w:r>
        <w:rPr>
          <w:rFonts w:ascii="Times New Roman" w:eastAsia="宋体" w:hAnsi="Times New Roman" w:cs="Times New Roman"/>
          <w:sz w:val="24"/>
          <w:szCs w:val="24"/>
        </w:rPr>
        <w:t>outcome</w:t>
      </w:r>
      <w:r w:rsidRPr="004C52D9">
        <w:rPr>
          <w:rFonts w:ascii="Times New Roman" w:eastAsia="宋体" w:hAnsi="Times New Roman" w:cs="Times New Roman"/>
          <w:sz w:val="24"/>
          <w:szCs w:val="24"/>
        </w:rPr>
        <w:t>s</w:t>
      </w:r>
      <w:r w:rsidRPr="003163A7">
        <w:rPr>
          <w:rFonts w:ascii="Times New Roman" w:eastAsia="宋体" w:hAnsi="Times New Roman" w:cs="Times New Roman"/>
          <w:sz w:val="24"/>
          <w:szCs w:val="24"/>
        </w:rPr>
        <w:t xml:space="preserve"> </w:t>
      </w:r>
      <w:r w:rsidRPr="004C52D9">
        <w:rPr>
          <w:rFonts w:ascii="Times New Roman" w:eastAsia="宋体" w:hAnsi="Times New Roman" w:cs="Times New Roman"/>
          <w:sz w:val="24"/>
          <w:szCs w:val="24"/>
        </w:rPr>
        <w:t xml:space="preserve">to </w:t>
      </w:r>
      <w:r>
        <w:rPr>
          <w:rFonts w:ascii="Times New Roman" w:eastAsia="宋体" w:hAnsi="Times New Roman" w:cs="Times New Roman"/>
          <w:sz w:val="24"/>
          <w:szCs w:val="24"/>
        </w:rPr>
        <w:t>forecast</w:t>
      </w:r>
      <w:r w:rsidRPr="004C52D9">
        <w:rPr>
          <w:rFonts w:ascii="Times New Roman" w:eastAsia="宋体" w:hAnsi="Times New Roman" w:cs="Times New Roman"/>
          <w:sz w:val="24"/>
          <w:szCs w:val="24"/>
        </w:rPr>
        <w:t xml:space="preserve"> IC</w:t>
      </w:r>
      <w:r w:rsidRPr="004C52D9">
        <w:rPr>
          <w:rFonts w:ascii="Times New Roman" w:eastAsia="宋体" w:hAnsi="Times New Roman" w:cs="Times New Roman"/>
          <w:sz w:val="24"/>
          <w:szCs w:val="24"/>
          <w:vertAlign w:val="subscript"/>
        </w:rPr>
        <w:t xml:space="preserve">50 </w:t>
      </w:r>
      <w:r w:rsidRPr="004C52D9">
        <w:rPr>
          <w:rFonts w:ascii="Times New Roman" w:eastAsia="宋体" w:hAnsi="Times New Roman" w:cs="Times New Roman"/>
          <w:sz w:val="24"/>
          <w:szCs w:val="24"/>
        </w:rPr>
        <w:t xml:space="preserve">values. </w:t>
      </w:r>
      <w:r w:rsidRPr="004C52D9">
        <w:rPr>
          <w:rFonts w:ascii="Times New Roman" w:hAnsi="Times New Roman" w:cs="Times New Roman"/>
          <w:sz w:val="24"/>
          <w:szCs w:val="24"/>
        </w:rPr>
        <w:t>We</w:t>
      </w:r>
      <w:r w:rsidRPr="007171AE">
        <w:rPr>
          <w:rFonts w:ascii="Times New Roman" w:hAnsi="Times New Roman" w:cs="Times New Roman"/>
          <w:sz w:val="24"/>
          <w:szCs w:val="24"/>
        </w:rPr>
        <w:t xml:space="preserve"> demonstrate </w:t>
      </w:r>
      <w:r w:rsidRPr="004C52D9">
        <w:rPr>
          <w:rFonts w:ascii="Times New Roman" w:hAnsi="Times New Roman" w:cs="Times New Roman"/>
          <w:sz w:val="24"/>
          <w:szCs w:val="24"/>
        </w:rPr>
        <w:t xml:space="preserve">that the classification model based on a large dataset significantly </w:t>
      </w:r>
      <w:r w:rsidRPr="00743345">
        <w:rPr>
          <w:rFonts w:ascii="Times New Roman" w:hAnsi="Times New Roman" w:cs="Times New Roman"/>
          <w:sz w:val="24"/>
          <w:szCs w:val="24"/>
        </w:rPr>
        <w:t xml:space="preserve">improves </w:t>
      </w:r>
      <w:r w:rsidRPr="004C52D9">
        <w:rPr>
          <w:rFonts w:ascii="Times New Roman" w:hAnsi="Times New Roman" w:cs="Times New Roman"/>
          <w:sz w:val="24"/>
          <w:szCs w:val="24"/>
        </w:rPr>
        <w:t>the performance of the regression model trained on a relatively smaller dataset. Furthermore, the evidential-based UQ method was introduced to assess the confidence of prediction values.</w:t>
      </w:r>
      <w:r w:rsidRPr="004C52D9">
        <w:rPr>
          <w:rFonts w:ascii="Times New Roman" w:hAnsi="Times New Roman" w:cs="Times New Roman"/>
        </w:rPr>
        <w:t xml:space="preserve"> </w:t>
      </w:r>
      <w:r w:rsidRPr="004C52D9">
        <w:rPr>
          <w:rFonts w:ascii="Times New Roman" w:hAnsi="Times New Roman" w:cs="Times New Roman"/>
          <w:sz w:val="24"/>
          <w:szCs w:val="24"/>
        </w:rPr>
        <w:t xml:space="preserve">The results </w:t>
      </w:r>
      <w:r w:rsidRPr="00743345">
        <w:rPr>
          <w:rFonts w:ascii="Times New Roman" w:hAnsi="Times New Roman" w:cs="Times New Roman"/>
          <w:sz w:val="24"/>
          <w:szCs w:val="24"/>
        </w:rPr>
        <w:t xml:space="preserve">show </w:t>
      </w:r>
      <w:r w:rsidRPr="004C52D9">
        <w:rPr>
          <w:rFonts w:ascii="Times New Roman" w:hAnsi="Times New Roman" w:cs="Times New Roman"/>
          <w:sz w:val="24"/>
          <w:szCs w:val="24"/>
        </w:rPr>
        <w:t xml:space="preserve">that the uncertainty method </w:t>
      </w:r>
      <w:r>
        <w:rPr>
          <w:rFonts w:ascii="Times New Roman" w:hAnsi="Times New Roman" w:cs="Times New Roman"/>
          <w:sz w:val="24"/>
          <w:szCs w:val="24"/>
        </w:rPr>
        <w:t xml:space="preserve">could </w:t>
      </w:r>
      <w:r w:rsidRPr="004C52D9">
        <w:rPr>
          <w:rFonts w:ascii="Times New Roman" w:hAnsi="Times New Roman" w:cs="Times New Roman"/>
          <w:sz w:val="24"/>
          <w:szCs w:val="24"/>
        </w:rPr>
        <w:t xml:space="preserve">effectively calibrate the error distribution and accurately characterize the correlation between uncertainty and prediction errors. Consequently, predictions with higher confidence exhibit better performance. To showcase the practicality of our new approach, we conducted an uncertainty-guided virtual screening process </w:t>
      </w:r>
      <w:r w:rsidRPr="004C52D9">
        <w:rPr>
          <w:rFonts w:ascii="Times New Roman" w:hAnsi="Times New Roman" w:cs="Times New Roman"/>
          <w:sz w:val="24"/>
          <w:szCs w:val="28"/>
        </w:rPr>
        <w:t xml:space="preserve">of an in-house compound set </w:t>
      </w:r>
      <w:r w:rsidRPr="004C52D9">
        <w:rPr>
          <w:rFonts w:ascii="Times New Roman" w:hAnsi="Times New Roman" w:cs="Times New Roman"/>
          <w:sz w:val="24"/>
          <w:szCs w:val="24"/>
        </w:rPr>
        <w:t xml:space="preserve">and validated the screening results through </w:t>
      </w:r>
      <w:r w:rsidRPr="004C52D9">
        <w:rPr>
          <w:rFonts w:ascii="Times New Roman" w:hAnsi="Times New Roman" w:cs="Times New Roman"/>
          <w:i/>
          <w:iCs/>
          <w:sz w:val="24"/>
          <w:szCs w:val="24"/>
        </w:rPr>
        <w:t>in vitro</w:t>
      </w:r>
      <w:r w:rsidRPr="004C52D9">
        <w:rPr>
          <w:rFonts w:ascii="Times New Roman" w:hAnsi="Times New Roman" w:cs="Times New Roman"/>
          <w:sz w:val="24"/>
          <w:szCs w:val="24"/>
        </w:rPr>
        <w:t xml:space="preserve"> inhibition assays. As a result, within the top 20 compounds ranked with uncertainty, a total of 15 compounds were identified as new CYP3A4 inhibitors. Notably, compound </w:t>
      </w:r>
      <w:r w:rsidRPr="003D61D2">
        <w:rPr>
          <w:rFonts w:ascii="Times New Roman" w:hAnsi="Times New Roman" w:cs="Times New Roman"/>
          <w:sz w:val="24"/>
          <w:szCs w:val="24"/>
        </w:rPr>
        <w:t>4'-methoxy-2'-hydroxy quinoxaline-chalcone</w:t>
      </w:r>
      <w:r w:rsidRPr="00134BAA">
        <w:rPr>
          <w:rFonts w:ascii="Times New Roman" w:hAnsi="Times New Roman" w:cs="Times New Roman"/>
          <w:sz w:val="24"/>
          <w:szCs w:val="24"/>
        </w:rPr>
        <w:t xml:space="preserve">, </w:t>
      </w:r>
      <w:r w:rsidRPr="005C60FF">
        <w:rPr>
          <w:rFonts w:ascii="Times New Roman" w:hAnsi="Times New Roman" w:cs="Times New Roman"/>
          <w:sz w:val="24"/>
          <w:szCs w:val="24"/>
        </w:rPr>
        <w:t>2’,4’-</w:t>
      </w:r>
      <w:r w:rsidRPr="004C52D9">
        <w:rPr>
          <w:rFonts w:ascii="Times New Roman" w:hAnsi="Times New Roman" w:cs="Times New Roman"/>
          <w:sz w:val="24"/>
          <w:szCs w:val="24"/>
        </w:rPr>
        <w:t>d</w:t>
      </w:r>
      <w:r w:rsidRPr="005C60FF">
        <w:rPr>
          <w:rFonts w:ascii="Times New Roman" w:hAnsi="Times New Roman" w:cs="Times New Roman"/>
          <w:sz w:val="24"/>
          <w:szCs w:val="24"/>
        </w:rPr>
        <w:t>ihydroxychalcone</w:t>
      </w:r>
      <w:r>
        <w:rPr>
          <w:rFonts w:ascii="Times New Roman" w:hAnsi="Times New Roman" w:cs="Times New Roman"/>
          <w:sz w:val="24"/>
          <w:szCs w:val="24"/>
        </w:rPr>
        <w:t>,</w:t>
      </w:r>
      <w:r w:rsidRPr="004C52D9">
        <w:rPr>
          <w:rFonts w:ascii="Times New Roman" w:hAnsi="Times New Roman" w:cs="Times New Roman"/>
          <w:sz w:val="24"/>
          <w:szCs w:val="24"/>
        </w:rPr>
        <w:t xml:space="preserve"> r</w:t>
      </w:r>
      <w:r w:rsidRPr="005C60FF">
        <w:rPr>
          <w:rFonts w:ascii="Times New Roman" w:hAnsi="Times New Roman" w:cs="Times New Roman"/>
          <w:sz w:val="24"/>
          <w:szCs w:val="24"/>
        </w:rPr>
        <w:t>aloxifene</w:t>
      </w:r>
      <w:r>
        <w:rPr>
          <w:rFonts w:ascii="Times New Roman" w:hAnsi="Times New Roman" w:cs="Times New Roman"/>
          <w:sz w:val="24"/>
          <w:szCs w:val="24"/>
        </w:rPr>
        <w:t xml:space="preserve"> </w:t>
      </w:r>
      <w:r w:rsidRPr="004C52D9">
        <w:rPr>
          <w:rFonts w:ascii="Times New Roman" w:hAnsi="Times New Roman" w:cs="Times New Roman"/>
          <w:sz w:val="24"/>
          <w:szCs w:val="24"/>
        </w:rPr>
        <w:t>exhibited potent anti-CYP3A4 activities, with IC</w:t>
      </w:r>
      <w:r w:rsidRPr="005D3781">
        <w:rPr>
          <w:rFonts w:ascii="Times New Roman" w:hAnsi="Times New Roman" w:cs="Times New Roman"/>
          <w:sz w:val="24"/>
          <w:szCs w:val="24"/>
          <w:vertAlign w:val="subscript"/>
        </w:rPr>
        <w:t>50</w:t>
      </w:r>
      <w:r w:rsidRPr="004C52D9">
        <w:rPr>
          <w:rFonts w:ascii="Times New Roman" w:hAnsi="Times New Roman" w:cs="Times New Roman"/>
          <w:sz w:val="24"/>
          <w:szCs w:val="24"/>
        </w:rPr>
        <w:t xml:space="preserve"> values of 0.4</w:t>
      </w:r>
      <w:r>
        <w:rPr>
          <w:rFonts w:ascii="Times New Roman" w:hAnsi="Times New Roman" w:cs="Times New Roman"/>
          <w:sz w:val="24"/>
          <w:szCs w:val="24"/>
        </w:rPr>
        <w:t>28</w:t>
      </w:r>
      <w:r>
        <w:rPr>
          <w:rFonts w:ascii="Times New Roman" w:hAnsi="Times New Roman" w:cs="Times New Roman" w:hint="eastAsia"/>
          <w:sz w:val="24"/>
          <w:szCs w:val="24"/>
        </w:rPr>
        <w:t xml:space="preserve"> </w:t>
      </w:r>
      <w:proofErr w:type="spellStart"/>
      <w:r w:rsidRPr="005C60FF">
        <w:rPr>
          <w:rFonts w:ascii="Times New Roman" w:eastAsia="宋体" w:hAnsi="Times New Roman" w:cs="Times New Roman"/>
          <w:sz w:val="24"/>
          <w:szCs w:val="21"/>
        </w:rPr>
        <w:t>μM</w:t>
      </w:r>
      <w:proofErr w:type="spellEnd"/>
      <w:r>
        <w:rPr>
          <w:rFonts w:ascii="Times New Roman" w:hAnsi="Times New Roman" w:cs="Times New Roman"/>
          <w:sz w:val="24"/>
          <w:szCs w:val="24"/>
        </w:rPr>
        <w:t xml:space="preserve">, 0.497 </w:t>
      </w:r>
      <w:proofErr w:type="spellStart"/>
      <w:r w:rsidRPr="005C60FF">
        <w:rPr>
          <w:rFonts w:ascii="Times New Roman" w:eastAsia="宋体" w:hAnsi="Times New Roman" w:cs="Times New Roman"/>
          <w:sz w:val="24"/>
          <w:szCs w:val="21"/>
        </w:rPr>
        <w:t>μM</w:t>
      </w:r>
      <w:proofErr w:type="spellEnd"/>
      <w:r>
        <w:rPr>
          <w:rFonts w:ascii="Times New Roman" w:hAnsi="Times New Roman" w:cs="Times New Roman"/>
          <w:sz w:val="24"/>
          <w:szCs w:val="24"/>
        </w:rPr>
        <w:t xml:space="preserve">, and 0.918 </w:t>
      </w:r>
      <w:proofErr w:type="spellStart"/>
      <w:r w:rsidRPr="005C60FF">
        <w:rPr>
          <w:rFonts w:ascii="Times New Roman" w:eastAsia="宋体" w:hAnsi="Times New Roman" w:cs="Times New Roman"/>
          <w:sz w:val="24"/>
          <w:szCs w:val="21"/>
        </w:rPr>
        <w:t>μM</w:t>
      </w:r>
      <w:proofErr w:type="spellEnd"/>
      <w:r w:rsidRPr="004C52D9">
        <w:rPr>
          <w:rFonts w:ascii="Times New Roman" w:hAnsi="Times New Roman" w:cs="Times New Roman"/>
          <w:sz w:val="24"/>
          <w:szCs w:val="24"/>
        </w:rPr>
        <w:t>, respectively</w:t>
      </w:r>
      <w:r w:rsidR="00615E84" w:rsidRPr="004C52D9">
        <w:rPr>
          <w:rFonts w:ascii="Times New Roman" w:hAnsi="Times New Roman" w:cs="Times New Roman"/>
          <w:sz w:val="24"/>
          <w:szCs w:val="24"/>
        </w:rPr>
        <w:t>.</w:t>
      </w:r>
    </w:p>
    <w:p w14:paraId="5825F579" w14:textId="77777777" w:rsidR="0020202E" w:rsidRPr="005C60FF" w:rsidRDefault="0020202E" w:rsidP="0020202E">
      <w:pPr>
        <w:pStyle w:val="1"/>
        <w:spacing w:beforeLines="50" w:before="156" w:afterLines="50" w:after="156" w:line="240" w:lineRule="auto"/>
        <w:rPr>
          <w:rFonts w:ascii="Times New Roman" w:hAnsi="Times New Roman" w:cs="Times New Roman"/>
        </w:rPr>
      </w:pPr>
      <w:bookmarkStart w:id="1" w:name="OLE_LINK162"/>
      <w:r w:rsidRPr="004C52D9">
        <w:rPr>
          <w:rFonts w:ascii="Times New Roman" w:eastAsia="楷体" w:hAnsi="Times New Roman" w:cs="Times New Roman"/>
          <w:sz w:val="36"/>
          <w:szCs w:val="36"/>
        </w:rPr>
        <w:t>2. MATERIALS AND METHODS</w:t>
      </w:r>
    </w:p>
    <w:bookmarkEnd w:id="1"/>
    <w:p w14:paraId="43471AC4" w14:textId="77777777" w:rsidR="0020202E" w:rsidRPr="005C60FF" w:rsidRDefault="0020202E" w:rsidP="0020202E">
      <w:pPr>
        <w:pStyle w:val="af0"/>
        <w:spacing w:line="276" w:lineRule="auto"/>
        <w:ind w:firstLineChars="0" w:firstLine="0"/>
        <w:outlineLvl w:val="1"/>
        <w:rPr>
          <w:rFonts w:ascii="Times New Roman" w:eastAsia="宋体" w:hAnsi="Times New Roman" w:cs="Times New Roman"/>
          <w:bCs/>
          <w:sz w:val="30"/>
          <w:szCs w:val="30"/>
        </w:rPr>
      </w:pPr>
      <w:r w:rsidRPr="005C60FF">
        <w:rPr>
          <w:rFonts w:ascii="Times New Roman" w:eastAsia="宋体" w:hAnsi="Times New Roman" w:cs="Times New Roman"/>
          <w:bCs/>
          <w:sz w:val="30"/>
          <w:szCs w:val="30"/>
        </w:rPr>
        <w:t>2.1</w:t>
      </w:r>
      <w:r w:rsidRPr="004C52D9">
        <w:rPr>
          <w:rFonts w:ascii="Times New Roman" w:eastAsia="宋体" w:hAnsi="Times New Roman" w:cs="Times New Roman"/>
          <w:bCs/>
          <w:sz w:val="30"/>
          <w:szCs w:val="30"/>
        </w:rPr>
        <w:t>.</w:t>
      </w:r>
      <w:r w:rsidRPr="005C60FF">
        <w:rPr>
          <w:rFonts w:ascii="Times New Roman" w:eastAsia="宋体" w:hAnsi="Times New Roman" w:cs="Times New Roman"/>
          <w:bCs/>
          <w:sz w:val="30"/>
          <w:szCs w:val="30"/>
        </w:rPr>
        <w:t xml:space="preserve"> Data collection and curation</w:t>
      </w:r>
    </w:p>
    <w:p w14:paraId="19DABC0E" w14:textId="16042DB0" w:rsidR="0020202E" w:rsidRPr="005C60FF" w:rsidRDefault="0020202E" w:rsidP="0020202E">
      <w:pPr>
        <w:spacing w:beforeLines="50" w:before="156" w:afterLines="50" w:after="156" w:line="276" w:lineRule="auto"/>
        <w:ind w:firstLineChars="100" w:firstLine="240"/>
        <w:rPr>
          <w:rFonts w:ascii="Times New Roman" w:eastAsia="宋体" w:hAnsi="Times New Roman" w:cs="Times New Roman"/>
          <w:sz w:val="24"/>
          <w:szCs w:val="24"/>
        </w:rPr>
      </w:pPr>
      <w:r w:rsidRPr="005C60FF">
        <w:rPr>
          <w:rFonts w:ascii="Times New Roman" w:eastAsia="宋体" w:hAnsi="Times New Roman" w:cs="Times New Roman"/>
          <w:sz w:val="24"/>
          <w:szCs w:val="24"/>
        </w:rPr>
        <w:t xml:space="preserve">Chemical data was obtained from the PubChem Bioassay Database and the </w:t>
      </w:r>
      <w:proofErr w:type="spellStart"/>
      <w:r w:rsidRPr="005C60FF">
        <w:rPr>
          <w:rFonts w:ascii="Times New Roman" w:eastAsia="宋体" w:hAnsi="Times New Roman" w:cs="Times New Roman"/>
          <w:sz w:val="24"/>
          <w:szCs w:val="24"/>
        </w:rPr>
        <w:t>ChEMBL</w:t>
      </w:r>
      <w:proofErr w:type="spellEnd"/>
      <w:r w:rsidRPr="005C60FF">
        <w:rPr>
          <w:rFonts w:ascii="Times New Roman" w:eastAsia="宋体" w:hAnsi="Times New Roman" w:cs="Times New Roman"/>
          <w:sz w:val="24"/>
          <w:szCs w:val="24"/>
        </w:rPr>
        <w:t xml:space="preserve"> </w:t>
      </w:r>
      <w:r w:rsidR="00D865BE">
        <w:rPr>
          <w:rFonts w:ascii="Times New Roman" w:eastAsia="宋体" w:hAnsi="Times New Roman" w:cs="Times New Roman" w:hint="eastAsia"/>
          <w:sz w:val="24"/>
          <w:szCs w:val="24"/>
        </w:rPr>
        <w:t>D</w:t>
      </w:r>
      <w:r w:rsidRPr="005C60FF">
        <w:rPr>
          <w:rFonts w:ascii="Times New Roman" w:eastAsia="宋体" w:hAnsi="Times New Roman" w:cs="Times New Roman"/>
          <w:sz w:val="24"/>
          <w:szCs w:val="24"/>
        </w:rPr>
        <w:t>atabase for model development and evaluation. Previous studies primarily utilized a dataset composed of 17,143 samples collected from PubChem Assay ID (AID) 1851.</w:t>
      </w:r>
      <w:r>
        <w:rPr>
          <w:rFonts w:ascii="Times New Roman" w:eastAsia="宋体" w:hAnsi="Times New Roman" w:cs="Times New Roman"/>
          <w:sz w:val="24"/>
          <w:szCs w:val="24"/>
        </w:rPr>
        <w:fldChar w:fldCharType="begin"/>
      </w:r>
      <w:r w:rsidR="00B945C0">
        <w:rPr>
          <w:rFonts w:ascii="Times New Roman" w:eastAsia="宋体" w:hAnsi="Times New Roman" w:cs="Times New Roman"/>
          <w:sz w:val="24"/>
          <w:szCs w:val="24"/>
        </w:rPr>
        <w:instrText xml:space="preserve"> ADDIN ZOTERO_ITEM CSL_CITATION {"citationID":"QWBsAlB2","properties":{"formattedCitation":"\\super 15,20,28,29\\nosupersub{}","plainCitation":"15,20,28,29","noteIndex":0},"citationItems":[{"id":132,"uris":["http://zotero.org/users/9157699/items/Y9RDNWCI"],"itemData":{"id":132,"type":"article-journal","abstract":"The vast majority of approved drugs are metabolized by the five major cytochrome P450 (CYP) isozymes, 1A2, 2C9, 2C19, 2D6 and 3A4. Inhibition of CYP isozymes can cause drug-drug interactions with severe pharmaco­ logical and toxicological consequences. Computational methods for the fast and reliable prediction of the inhi­ bition of CYP isozymes by small molecules are therefore of high interest and relevance to pharmaceutical companies and a host of other industries, including the cosmetics and agrochemical industries. Today, a large number of machine learning models for predicting the inhibition of the major CYP isozymes by small molecules are available. With this work we aim to go beyond the coverage of existing models, by combining data from several major public and proprietary sources. More specifically, we used up to 18815 compounds with measured bioactivities to train random forest classification models for the individual CYP isozymes. A major advantage of the new data collection over existing ones is the better representation of the minority class, the CYP inhibitors. With the new data collection we achieved inhibitor-to-non-inhibitor ratios in the order of 1:1 (CYP1A2) to 1:3 (CYP2D6). We show that our models reach competitive performance on external data, with Matthews correlation coefficients (MCCs) ranging from 0.62 (CYP2C19) to 0.70 (CYP2D6), and areas under the receiver operating characteristic curve (AUCs) between 0.89 (CYP2C19) and 0.92 (CYPs 2D6 and 3A4). Importantly, the models show a high level of robustness, reflected in a good predictivity also for compounds that are structurally dis­ similar to the compounds represented in the training data. The best models presented in this work are freely accessible for academic research via a web service.","container-title":"Bioorganic &amp; Medicinal Chemistry","DOI":"10.1016/j.bmc.2021.116388","ISSN":"09680896","journalAbbreviation":"Bioorganic &amp; Medicinal Chemistry","language":"en","page":"116388","source":"DOI.org (Crossref)","title":"CYPlebrity: Machine learning models for the prediction of inhibitors of cytochrome P450 enzymes","title-short":"CYPlebrity","volume":"46","author":[{"family":"Plonka","given":"Wojciech"},{"family":"Stork","given":"Conrad"},{"family":"Šícho","given":"Martin"},{"family":"Kirchmair","given":"Johannes"}],"issued":{"date-parts":[["2021",9]]}}},{"id":141,"uris":["http://zotero.org/users/9157699/items/FYYEJN3I"],"itemData":{"id":141,"type":"article-journal","container-title":"Molecular Pharmaceutics","DOI":"10.1021/acs.molpharmaceut.8b00110","ISSN":"1543-8384, 1543-8392","issue":"10","journalAbbreviation":"Mol. Pharmaceutics","language":"en","page":"4336-4345","source":"DOI.org (Crossref)","title":"Prediction of Human Cytochrome P450 Inhibition Using a Multitask Deep Autoencoder Neural Network","volume":"15","author":[{"family":"Li","given":"Xiang"},{"family":"Xu","given":"Youjun"},{"family":"Lai","given":"Luhua"},{"family":"Pei","given":"Jianfeng"}],"issued":{"date-parts":[["2018",10,1]]}},"label":"page"},{"id":131,"uris":["http://zotero.org/users/9157699/items/EGSBR6XY"],"itemData":{"id":131,"type":"article-journal","abstract":"Cytochrome P450 enzymes (CYPs)-mediated drug metabolism inﬂuences drug pharmacokinetics and results in adverse outcomes in patients through drug–drug interactions (DDIs). Absorption, distribution, metabolism, excretion and toxicity (ADMET) issues are the leading causes for the failure of a drug in the clinical trials. As details on their metabolism are known for just half of the approved drugs, a tool for reliable prediction of CYPs speciﬁcity is needed. The SuperCYPsPred web server is currently focused on ﬁve major CYPs isoenzymes, which includes CYP1A2, CYP2C19, CYP2D6, CYP2C9 and CYP3A4 that are responsible for more than 80% of the metabolism of clinical drugs. The prediction models for classiﬁcation of the CYPs inhibition are based on well-established machine learning methods. The models were validated both on cross-validation and external validation sets and achieved good performance. The web server takes a 2D chemical structure as input and reports the CYP inhibition proﬁle of the chemical for 10 models using different molecular ﬁngerprints, along with conﬁdence scores, similar compounds, known CYPs information of drugs––published in literature, detailed interaction proﬁle of individual cytochromes including a DDIs table and an overall CYPs prediction radar chart (http://insilico-cyp. charite.de/SuperCYPsPred/).The web server does not require log in or registration and is free to use.","container-title":"Nucleic Acids Research","DOI":"10.1093/nar/gkaa166","ISSN":"0305-1048, 1362-4962","issue":"W1","language":"en","page":"W580-W585","source":"DOI.org (Crossref)","title":"SuperCYPsPred—a web server for the prediction of cytochrome activity","volume":"48","author":[{"family":"Banerjee","given":"Priyanka"},{"family":"Dunkel","given":"Mathias"},{"family":"Kemmler","given":"Emanuel"},{"family":"Preissner","given":"Robert"}],"issued":{"date-parts":[["2020",7,2]]}}},{"id":117,"uris":["http://zotero.org/users/9157699/items/H74Z7YVJ"],"itemData":{"id":117,"type":"article-journal","abstract":"The human cytochrome P450 (CYP) superfamily holds responsibilities for the metabolism of both endogenous and exogenous compounds such as drugs, cellular metabolites, and toxins. The inhibition exerted on the CYP enzymes is closely associated with adverse drug reactions encompassing metabolic failures and induced side eﬀects. In modern drug discovery, identiﬁcation of potential CYP inhibitors is, therefore, highly essential. Alongside experimental approaches, numerous computational models have been proposed to address this biochemical issue. In this study, we introduce iCYP-MFE, a computational framework for virtual screening on CYP inhibitors toward 1A2, 2C9, 2C19, 2D6, and 3A4 isoforms. iCYP-MFE contains a set of ﬁve robust, stable, and eﬀective prediction models developed using multitask learning incorporated with molecular ﬁngerprint-embedded features. The results show that multitask learning can remarkably leverage useful information from related tasks to promote global performance. Comparative analysis indicates that iCYP-MFE achieves three predominant tasks, one equivalent task, and one less eﬀective task compared to state-of-the-art methods. The area under the receiver operating characteristic curve (AUC-ROC) and the area under the precision-recall curve (AUC-PR) were two decisive metrics used for model evaluation. The prediction task for CYP2D6inhibition achieves the highest AUC-ROC value of 0.93 while the prediction task for CYP1A2-inhibition obtains the highest AUCPR value of 0.92. The substructural analysis preliminarily explains the nature of the CYP-inhibitory activity of compounds. An online web server for iCYP-MFE with a user-friendly interface was also deployed to support scientiﬁc communities in identifying CYP inhibitors.","container-title":"Journal of Chemical Information and Modeling","DOI":"10.1021/acs.jcim.1c00628","ISSN":"1549-9596, 1549-960X","journalAbbreviation":"J. Chem. Inf. Model.","language":"en","page":"acs.jcim.1c00628","source":"DOI.org (Crossref)","title":"iCYP-MFE: Identifying Human Cytochrome P450 Inhibitors Using Multitask Learning and Molecular Fingerprint-Embedded Encoding","title-short":"iCYP-MFE","author":[{"family":"Nguyen-Vo","given":"Thanh-Hoang"},{"family":"Trinh","given":"Quang H."},{"family":"Nguyen","given":"Loc"},{"family":"Nguyen-Hoang","given":"Phuong-Uyen"},{"family":"Nguyen","given":"Thien-Ngan"},{"family":"Nguyen","given":"Dung T."},{"family":"Nguyen","given":"Binh P."},{"family":"Le","given":"Ly"}],"issued":{"date-parts":[["2021",10,21]]}},"label":"page"}],"schema":"https://github.com/citation-style-language/schema/raw/master/csl-citation.json"} </w:instrText>
      </w:r>
      <w:r>
        <w:rPr>
          <w:rFonts w:ascii="Times New Roman" w:eastAsia="宋体" w:hAnsi="Times New Roman" w:cs="Times New Roman"/>
          <w:sz w:val="24"/>
          <w:szCs w:val="24"/>
        </w:rPr>
        <w:fldChar w:fldCharType="separate"/>
      </w:r>
      <w:r w:rsidR="00B945C0" w:rsidRPr="00B945C0">
        <w:rPr>
          <w:rFonts w:ascii="Times New Roman" w:hAnsi="Times New Roman" w:cs="Times New Roman"/>
          <w:kern w:val="0"/>
          <w:sz w:val="24"/>
          <w:szCs w:val="24"/>
          <w:vertAlign w:val="superscript"/>
        </w:rPr>
        <w:t>15,20,28,29</w:t>
      </w:r>
      <w:r>
        <w:rPr>
          <w:rFonts w:ascii="Times New Roman" w:eastAsia="宋体" w:hAnsi="Times New Roman" w:cs="Times New Roman"/>
          <w:sz w:val="24"/>
          <w:szCs w:val="24"/>
        </w:rPr>
        <w:fldChar w:fldCharType="end"/>
      </w:r>
      <w:r w:rsidRPr="00140846">
        <w:rPr>
          <w:rFonts w:ascii="Times New Roman" w:eastAsia="宋体" w:hAnsi="Times New Roman" w:cs="Times New Roman"/>
          <w:color w:val="FF0000"/>
          <w:sz w:val="24"/>
          <w:szCs w:val="24"/>
        </w:rPr>
        <w:t xml:space="preserve"> </w:t>
      </w:r>
      <w:r w:rsidRPr="005C60FF">
        <w:rPr>
          <w:rFonts w:ascii="Times New Roman" w:eastAsia="宋体" w:hAnsi="Times New Roman" w:cs="Times New Roman"/>
          <w:sz w:val="24"/>
          <w:szCs w:val="24"/>
        </w:rPr>
        <w:t>To enhance dataset diversity, we collected additional 11 datasets, mainly containing AID 884, AID 1645841, AID 1671201, and AID 686941. Each sample in the dataset was labeled as "active", "inactive", and "inconclusive". To ensure data quality and consistency, "inconclusive" samples were excluded, and only "active" (inhibitors) and "inactive" (non-inhibitors) compounds were retained for further processing.</w:t>
      </w:r>
      <w:r w:rsidRPr="005C60FF">
        <w:rPr>
          <w:rFonts w:ascii="Times New Roman" w:hAnsi="Times New Roman" w:cs="Times New Roman"/>
          <w:sz w:val="24"/>
          <w:szCs w:val="24"/>
        </w:rPr>
        <w:t xml:space="preserve"> </w:t>
      </w:r>
      <w:r w:rsidRPr="005C60FF">
        <w:rPr>
          <w:rFonts w:ascii="Times New Roman" w:eastAsia="宋体" w:hAnsi="Times New Roman" w:cs="Times New Roman"/>
          <w:sz w:val="24"/>
          <w:szCs w:val="24"/>
        </w:rPr>
        <w:t>The cutoff for labeling "active" and "inactive" compounds was set at pIC</w:t>
      </w:r>
      <w:r w:rsidRPr="005C60FF">
        <w:rPr>
          <w:rFonts w:ascii="Times New Roman" w:eastAsia="宋体" w:hAnsi="Times New Roman" w:cs="Times New Roman"/>
          <w:sz w:val="24"/>
          <w:szCs w:val="24"/>
          <w:vertAlign w:val="subscript"/>
        </w:rPr>
        <w:t>50</w:t>
      </w:r>
      <w:r w:rsidRPr="005C60FF">
        <w:rPr>
          <w:rFonts w:ascii="Times New Roman" w:eastAsia="宋体" w:hAnsi="Times New Roman" w:cs="Times New Roman"/>
          <w:sz w:val="24"/>
          <w:szCs w:val="24"/>
        </w:rPr>
        <w:t xml:space="preserve">=5. For data collection from the </w:t>
      </w:r>
      <w:proofErr w:type="spellStart"/>
      <w:r w:rsidRPr="005C60FF">
        <w:rPr>
          <w:rFonts w:ascii="Times New Roman" w:eastAsia="宋体" w:hAnsi="Times New Roman" w:cs="Times New Roman"/>
          <w:sz w:val="24"/>
          <w:szCs w:val="24"/>
        </w:rPr>
        <w:t>ChEMBL</w:t>
      </w:r>
      <w:proofErr w:type="spellEnd"/>
      <w:r w:rsidRPr="005C60FF">
        <w:rPr>
          <w:rFonts w:ascii="Times New Roman" w:eastAsia="宋体" w:hAnsi="Times New Roman" w:cs="Times New Roman"/>
          <w:sz w:val="24"/>
          <w:szCs w:val="24"/>
        </w:rPr>
        <w:t xml:space="preserve"> database, we obtained data with exact pIC</w:t>
      </w:r>
      <w:r w:rsidRPr="005C60FF">
        <w:rPr>
          <w:rFonts w:ascii="Times New Roman" w:eastAsia="宋体" w:hAnsi="Times New Roman" w:cs="Times New Roman"/>
          <w:sz w:val="24"/>
          <w:szCs w:val="24"/>
          <w:vertAlign w:val="subscript"/>
        </w:rPr>
        <w:t>50</w:t>
      </w:r>
      <w:r w:rsidRPr="005C60FF">
        <w:rPr>
          <w:rFonts w:ascii="Times New Roman" w:eastAsia="宋体" w:hAnsi="Times New Roman" w:cs="Times New Roman"/>
          <w:sz w:val="24"/>
          <w:szCs w:val="24"/>
        </w:rPr>
        <w:t xml:space="preserve"> labels. Data labeled as "</w:t>
      </w:r>
      <w:r w:rsidR="00B945C0" w:rsidRPr="00B945C0">
        <w:rPr>
          <w:rFonts w:ascii="Times New Roman" w:eastAsia="宋体" w:hAnsi="Times New Roman" w:cs="Times New Roman"/>
          <w:sz w:val="24"/>
          <w:szCs w:val="24"/>
        </w:rPr>
        <w:t>Outside typical range</w:t>
      </w:r>
      <w:r w:rsidRPr="005C60FF">
        <w:rPr>
          <w:rFonts w:ascii="Times New Roman" w:eastAsia="宋体" w:hAnsi="Times New Roman" w:cs="Times New Roman"/>
          <w:sz w:val="24"/>
          <w:szCs w:val="24"/>
        </w:rPr>
        <w:t xml:space="preserve">" were removed, and the remaining data </w:t>
      </w:r>
      <w:r w:rsidRPr="005C60FF">
        <w:rPr>
          <w:rFonts w:ascii="Times New Roman" w:eastAsia="宋体" w:hAnsi="Times New Roman" w:cs="Times New Roman"/>
          <w:sz w:val="24"/>
          <w:szCs w:val="24"/>
        </w:rPr>
        <w:lastRenderedPageBreak/>
        <w:t>with pIC</w:t>
      </w:r>
      <w:r w:rsidRPr="005C60FF">
        <w:rPr>
          <w:rFonts w:ascii="Times New Roman" w:eastAsia="宋体" w:hAnsi="Times New Roman" w:cs="Times New Roman"/>
          <w:sz w:val="24"/>
          <w:szCs w:val="24"/>
          <w:vertAlign w:val="subscript"/>
        </w:rPr>
        <w:t>50</w:t>
      </w:r>
      <w:r w:rsidRPr="005C60FF">
        <w:rPr>
          <w:rFonts w:ascii="Times New Roman" w:eastAsia="宋体" w:hAnsi="Times New Roman" w:cs="Times New Roman"/>
          <w:sz w:val="24"/>
          <w:szCs w:val="24"/>
        </w:rPr>
        <w:t xml:space="preserve"> values were kept for subsequent processing.</w:t>
      </w:r>
    </w:p>
    <w:p w14:paraId="776D194F" w14:textId="0FF99E28" w:rsidR="0020202E" w:rsidRPr="004C52D9" w:rsidRDefault="00C54B3E" w:rsidP="0020202E">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44E504C9" wp14:editId="5163ED3D">
            <wp:extent cx="3766088" cy="3616671"/>
            <wp:effectExtent l="0" t="0" r="6350" b="3175"/>
            <wp:docPr id="6776102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0829" cy="3630827"/>
                    </a:xfrm>
                    <a:prstGeom prst="rect">
                      <a:avLst/>
                    </a:prstGeom>
                    <a:noFill/>
                  </pic:spPr>
                </pic:pic>
              </a:graphicData>
            </a:graphic>
          </wp:inline>
        </w:drawing>
      </w:r>
    </w:p>
    <w:p w14:paraId="2F70DCB1" w14:textId="77777777" w:rsidR="0020202E" w:rsidRPr="004C52D9" w:rsidRDefault="0020202E" w:rsidP="0020202E">
      <w:pPr>
        <w:spacing w:line="276" w:lineRule="auto"/>
        <w:jc w:val="center"/>
        <w:rPr>
          <w:rFonts w:ascii="Times New Roman" w:eastAsia="宋体" w:hAnsi="Times New Roman" w:cs="Times New Roman"/>
          <w:szCs w:val="21"/>
        </w:rPr>
      </w:pPr>
      <w:r w:rsidRPr="005C60FF">
        <w:rPr>
          <w:rFonts w:ascii="Times New Roman" w:eastAsia="宋体" w:hAnsi="Times New Roman" w:cs="Times New Roman"/>
          <w:bCs/>
          <w:szCs w:val="21"/>
        </w:rPr>
        <w:t xml:space="preserve">Figure 1. </w:t>
      </w:r>
      <w:r w:rsidRPr="004C52D9">
        <w:rPr>
          <w:rFonts w:ascii="Times New Roman" w:eastAsia="宋体" w:hAnsi="Times New Roman" w:cs="Times New Roman"/>
          <w:szCs w:val="21"/>
        </w:rPr>
        <w:t>Flowchart of CYP3A4 inhibitors data processing.</w:t>
      </w:r>
    </w:p>
    <w:p w14:paraId="17CF48D9" w14:textId="77777777" w:rsidR="0020202E" w:rsidRPr="004C52D9" w:rsidRDefault="0020202E" w:rsidP="0020202E">
      <w:pPr>
        <w:spacing w:line="276" w:lineRule="auto"/>
        <w:jc w:val="center"/>
        <w:rPr>
          <w:rFonts w:ascii="Times New Roman" w:eastAsia="宋体" w:hAnsi="Times New Roman" w:cs="Times New Roman"/>
          <w:szCs w:val="21"/>
        </w:rPr>
      </w:pPr>
    </w:p>
    <w:p w14:paraId="062A5872" w14:textId="39596898" w:rsidR="0020202E" w:rsidRDefault="0020202E" w:rsidP="0020202E">
      <w:pPr>
        <w:spacing w:beforeLines="50" w:before="156" w:afterLines="50" w:after="156" w:line="276" w:lineRule="auto"/>
        <w:ind w:firstLineChars="100" w:firstLine="240"/>
        <w:rPr>
          <w:rFonts w:ascii="Times New Roman" w:eastAsia="宋体" w:hAnsi="Times New Roman" w:cs="Times New Roman"/>
          <w:sz w:val="24"/>
          <w:szCs w:val="21"/>
        </w:rPr>
      </w:pPr>
      <w:r w:rsidRPr="005C60FF">
        <w:rPr>
          <w:rFonts w:ascii="Times New Roman" w:eastAsia="宋体" w:hAnsi="Times New Roman" w:cs="Times New Roman"/>
          <w:sz w:val="24"/>
          <w:szCs w:val="21"/>
        </w:rPr>
        <w:t>All SMILES in the dataset were standardized to ensure consistency and facilitate analysis.</w:t>
      </w:r>
      <w:r w:rsidRPr="005C60FF">
        <w:rPr>
          <w:rFonts w:ascii="Times New Roman" w:hAnsi="Times New Roman" w:cs="Times New Roman"/>
          <w:sz w:val="24"/>
        </w:rPr>
        <w:t xml:space="preserve"> </w:t>
      </w:r>
      <w:r w:rsidRPr="005C60FF">
        <w:rPr>
          <w:rFonts w:ascii="Times New Roman" w:eastAsia="宋体" w:hAnsi="Times New Roman" w:cs="Times New Roman"/>
          <w:sz w:val="24"/>
          <w:szCs w:val="21"/>
        </w:rPr>
        <w:t>This process involved removing fragments, metal ions, and stereochemical information, as well as converting to the Canonical SMILES format.</w:t>
      </w:r>
      <w:r w:rsidRPr="005C60FF">
        <w:rPr>
          <w:rFonts w:ascii="Times New Roman" w:hAnsi="Times New Roman" w:cs="Times New Roman"/>
          <w:sz w:val="24"/>
        </w:rPr>
        <w:t xml:space="preserve"> </w:t>
      </w:r>
      <w:r w:rsidRPr="005C60FF">
        <w:rPr>
          <w:rFonts w:ascii="Times New Roman" w:eastAsia="宋体" w:hAnsi="Times New Roman" w:cs="Times New Roman"/>
          <w:sz w:val="24"/>
          <w:szCs w:val="21"/>
        </w:rPr>
        <w:t xml:space="preserve">We categorized sample conflicts into two types: </w:t>
      </w:r>
      <w:r w:rsidRPr="004C52D9">
        <w:rPr>
          <w:rFonts w:ascii="Times New Roman" w:eastAsia="宋体" w:hAnsi="Times New Roman" w:cs="Times New Roman"/>
          <w:sz w:val="24"/>
          <w:szCs w:val="21"/>
        </w:rPr>
        <w:t>(</w:t>
      </w:r>
      <w:r w:rsidRPr="005C60FF">
        <w:rPr>
          <w:rFonts w:ascii="Times New Roman" w:eastAsia="宋体" w:hAnsi="Times New Roman" w:cs="Times New Roman"/>
          <w:sz w:val="24"/>
          <w:szCs w:val="21"/>
        </w:rPr>
        <w:t xml:space="preserve">1) compounds with the same structure but different activity labels, and </w:t>
      </w:r>
      <w:r w:rsidRPr="004C52D9">
        <w:rPr>
          <w:rFonts w:ascii="Times New Roman" w:eastAsia="宋体" w:hAnsi="Times New Roman" w:cs="Times New Roman"/>
          <w:sz w:val="24"/>
          <w:szCs w:val="21"/>
        </w:rPr>
        <w:t>(</w:t>
      </w:r>
      <w:r w:rsidRPr="005C60FF">
        <w:rPr>
          <w:rFonts w:ascii="Times New Roman" w:eastAsia="宋体" w:hAnsi="Times New Roman" w:cs="Times New Roman"/>
          <w:sz w:val="24"/>
          <w:szCs w:val="21"/>
        </w:rPr>
        <w:t>2) compounds with the same structure and the same activity label. For data with classification labels, we removed all conflicted samples in case (1) and deduplicated samples in case (2) to obtain a unique representative. For compounds with specific IC</w:t>
      </w:r>
      <w:r w:rsidRPr="005C60FF">
        <w:rPr>
          <w:rFonts w:ascii="Times New Roman" w:eastAsia="宋体" w:hAnsi="Times New Roman" w:cs="Times New Roman"/>
          <w:sz w:val="24"/>
          <w:szCs w:val="21"/>
          <w:vertAlign w:val="subscript"/>
        </w:rPr>
        <w:t>50</w:t>
      </w:r>
      <w:r w:rsidRPr="005C60FF">
        <w:rPr>
          <w:rFonts w:ascii="Times New Roman" w:eastAsia="宋体" w:hAnsi="Times New Roman" w:cs="Times New Roman"/>
          <w:sz w:val="24"/>
          <w:szCs w:val="21"/>
        </w:rPr>
        <w:t xml:space="preserve"> values, we deduplicated data in case (2) to </w:t>
      </w:r>
      <w:r w:rsidRPr="004C52D9">
        <w:rPr>
          <w:rFonts w:ascii="Times New Roman" w:eastAsia="宋体" w:hAnsi="Times New Roman" w:cs="Times New Roman"/>
          <w:sz w:val="24"/>
          <w:szCs w:val="21"/>
        </w:rPr>
        <w:t>own</w:t>
      </w:r>
      <w:r w:rsidRPr="005C60FF">
        <w:rPr>
          <w:rFonts w:ascii="Times New Roman" w:eastAsia="宋体" w:hAnsi="Times New Roman" w:cs="Times New Roman"/>
          <w:sz w:val="24"/>
          <w:szCs w:val="21"/>
        </w:rPr>
        <w:t xml:space="preserve"> a unique label. </w:t>
      </w:r>
      <w:r>
        <w:rPr>
          <w:rFonts w:ascii="Times New Roman" w:eastAsia="宋体" w:hAnsi="Times New Roman" w:cs="Times New Roman"/>
          <w:sz w:val="24"/>
          <w:szCs w:val="21"/>
        </w:rPr>
        <w:t>For case (1), t</w:t>
      </w:r>
      <w:r w:rsidRPr="006A3DA6">
        <w:rPr>
          <w:rFonts w:ascii="Times New Roman" w:eastAsia="宋体" w:hAnsi="Times New Roman" w:cs="Times New Roman"/>
          <w:sz w:val="24"/>
          <w:szCs w:val="21"/>
        </w:rPr>
        <w:t>he same compounds with different IC</w:t>
      </w:r>
      <w:r w:rsidRPr="006A3DA6">
        <w:rPr>
          <w:rFonts w:ascii="Times New Roman" w:eastAsia="宋体" w:hAnsi="Times New Roman" w:cs="Times New Roman"/>
          <w:sz w:val="24"/>
          <w:szCs w:val="21"/>
          <w:vertAlign w:val="subscript"/>
        </w:rPr>
        <w:t>50</w:t>
      </w:r>
      <w:r>
        <w:rPr>
          <w:rFonts w:ascii="Times New Roman" w:eastAsia="宋体" w:hAnsi="Times New Roman" w:cs="Times New Roman"/>
          <w:sz w:val="24"/>
          <w:szCs w:val="21"/>
        </w:rPr>
        <w:t xml:space="preserve"> values</w:t>
      </w:r>
      <w:r w:rsidRPr="006A3DA6">
        <w:rPr>
          <w:rFonts w:ascii="Times New Roman" w:eastAsia="宋体" w:hAnsi="Times New Roman" w:cs="Times New Roman"/>
          <w:sz w:val="24"/>
          <w:szCs w:val="21"/>
        </w:rPr>
        <w:t xml:space="preserve"> </w:t>
      </w:r>
      <w:r>
        <w:rPr>
          <w:rFonts w:ascii="Times New Roman" w:eastAsia="宋体" w:hAnsi="Times New Roman" w:cs="Times New Roman"/>
          <w:sz w:val="24"/>
          <w:szCs w:val="21"/>
        </w:rPr>
        <w:t xml:space="preserve">often </w:t>
      </w:r>
      <w:r w:rsidRPr="006A3DA6">
        <w:rPr>
          <w:rFonts w:ascii="Times New Roman" w:eastAsia="宋体" w:hAnsi="Times New Roman" w:cs="Times New Roman"/>
          <w:sz w:val="24"/>
          <w:szCs w:val="21"/>
        </w:rPr>
        <w:t>occur in real experiments</w:t>
      </w:r>
      <w:r>
        <w:rPr>
          <w:rFonts w:ascii="Times New Roman" w:eastAsia="宋体" w:hAnsi="Times New Roman" w:cs="Times New Roman"/>
          <w:sz w:val="24"/>
          <w:szCs w:val="21"/>
        </w:rPr>
        <w:t xml:space="preserve"> </w:t>
      </w:r>
      <w:r w:rsidRPr="006A3DA6">
        <w:rPr>
          <w:rFonts w:ascii="Times New Roman" w:eastAsia="宋体" w:hAnsi="Times New Roman" w:cs="Times New Roman"/>
          <w:sz w:val="24"/>
          <w:szCs w:val="21"/>
        </w:rPr>
        <w:t>due to the utilization of consistent positive controls,</w:t>
      </w:r>
      <w:r>
        <w:rPr>
          <w:rFonts w:ascii="Times New Roman" w:eastAsia="宋体" w:hAnsi="Times New Roman" w:cs="Times New Roman"/>
          <w:sz w:val="24"/>
          <w:szCs w:val="21"/>
        </w:rPr>
        <w:t xml:space="preserve"> </w:t>
      </w:r>
      <w:r w:rsidRPr="006A3DA6">
        <w:rPr>
          <w:rFonts w:ascii="Times New Roman" w:eastAsia="宋体" w:hAnsi="Times New Roman" w:cs="Times New Roman"/>
          <w:sz w:val="24"/>
          <w:szCs w:val="21"/>
        </w:rPr>
        <w:t>but different experimental methods may produce different IC</w:t>
      </w:r>
      <w:r w:rsidRPr="006A3DA6">
        <w:rPr>
          <w:rFonts w:ascii="Times New Roman" w:eastAsia="宋体" w:hAnsi="Times New Roman" w:cs="Times New Roman"/>
          <w:sz w:val="24"/>
          <w:szCs w:val="21"/>
          <w:vertAlign w:val="subscript"/>
        </w:rPr>
        <w:t>50</w:t>
      </w:r>
      <w:r w:rsidRPr="006A3DA6">
        <w:rPr>
          <w:rFonts w:ascii="Times New Roman" w:eastAsia="宋体" w:hAnsi="Times New Roman" w:cs="Times New Roman"/>
          <w:sz w:val="24"/>
          <w:szCs w:val="21"/>
        </w:rPr>
        <w:t xml:space="preserve"> values.</w:t>
      </w:r>
      <w:r>
        <w:rPr>
          <w:rFonts w:ascii="Times New Roman" w:eastAsia="宋体" w:hAnsi="Times New Roman" w:cs="Times New Roman"/>
          <w:sz w:val="24"/>
          <w:szCs w:val="21"/>
        </w:rPr>
        <w:t xml:space="preserve"> We </w:t>
      </w:r>
      <w:r w:rsidRPr="004C52D9">
        <w:rPr>
          <w:rFonts w:ascii="Times New Roman" w:eastAsia="宋体" w:hAnsi="Times New Roman" w:cs="Times New Roman"/>
          <w:sz w:val="24"/>
          <w:szCs w:val="21"/>
        </w:rPr>
        <w:t>performed</w:t>
      </w:r>
      <w:r w:rsidRPr="005C60FF">
        <w:rPr>
          <w:rFonts w:ascii="Times New Roman" w:eastAsia="宋体" w:hAnsi="Times New Roman" w:cs="Times New Roman"/>
          <w:sz w:val="24"/>
          <w:szCs w:val="21"/>
        </w:rPr>
        <w:t xml:space="preserve"> greedy algorithm to merge activity </w:t>
      </w:r>
      <w:r w:rsidRPr="004C52D9">
        <w:rPr>
          <w:rFonts w:ascii="Times New Roman" w:eastAsia="宋体" w:hAnsi="Times New Roman" w:cs="Times New Roman"/>
          <w:sz w:val="24"/>
          <w:szCs w:val="21"/>
        </w:rPr>
        <w:t>values</w:t>
      </w:r>
      <w:r w:rsidRPr="005C60FF">
        <w:rPr>
          <w:rFonts w:ascii="Times New Roman" w:eastAsia="宋体" w:hAnsi="Times New Roman" w:cs="Times New Roman"/>
          <w:sz w:val="24"/>
          <w:szCs w:val="21"/>
        </w:rPr>
        <w:t xml:space="preserve"> across</w:t>
      </w:r>
      <w:r w:rsidRPr="004C52D9">
        <w:rPr>
          <w:rFonts w:ascii="Times New Roman" w:eastAsia="宋体" w:hAnsi="Times New Roman" w:cs="Times New Roman"/>
          <w:sz w:val="24"/>
          <w:szCs w:val="21"/>
        </w:rPr>
        <w:t xml:space="preserve"> different experimental</w:t>
      </w:r>
      <w:r w:rsidRPr="005C60FF">
        <w:rPr>
          <w:rFonts w:ascii="Times New Roman" w:eastAsia="宋体" w:hAnsi="Times New Roman" w:cs="Times New Roman"/>
          <w:sz w:val="24"/>
          <w:szCs w:val="21"/>
        </w:rPr>
        <w:t xml:space="preserve"> groups</w:t>
      </w:r>
      <w:r>
        <w:rPr>
          <w:rFonts w:ascii="Times New Roman" w:eastAsia="宋体" w:hAnsi="Times New Roman" w:cs="Times New Roman"/>
          <w:sz w:val="24"/>
          <w:szCs w:val="21"/>
        </w:rPr>
        <w:t xml:space="preserve"> </w:t>
      </w:r>
      <w:r w:rsidRPr="004337E8">
        <w:rPr>
          <w:rFonts w:ascii="Times New Roman" w:eastAsia="宋体" w:hAnsi="Times New Roman" w:cs="Times New Roman"/>
          <w:sz w:val="24"/>
          <w:szCs w:val="21"/>
        </w:rPr>
        <w:t>while maintaining the sorting within each group unchanged</w:t>
      </w:r>
      <w:r>
        <w:rPr>
          <w:rFonts w:ascii="Times New Roman" w:eastAsia="宋体" w:hAnsi="Times New Roman" w:cs="Times New Roman"/>
          <w:sz w:val="24"/>
          <w:szCs w:val="21"/>
        </w:rPr>
        <w:t xml:space="preserve">. The detailed processing procedure </w:t>
      </w:r>
      <w:r w:rsidR="00981F62">
        <w:rPr>
          <w:rFonts w:ascii="Times New Roman" w:eastAsia="宋体" w:hAnsi="Times New Roman" w:cs="Times New Roman"/>
          <w:sz w:val="24"/>
          <w:szCs w:val="21"/>
        </w:rPr>
        <w:t xml:space="preserve">is </w:t>
      </w:r>
      <w:r>
        <w:rPr>
          <w:rFonts w:ascii="Times New Roman" w:eastAsia="宋体" w:hAnsi="Times New Roman" w:cs="Times New Roman"/>
          <w:sz w:val="24"/>
          <w:szCs w:val="21"/>
        </w:rPr>
        <w:t xml:space="preserve">illustrated in </w:t>
      </w:r>
      <w:r w:rsidRPr="00B239D0">
        <w:rPr>
          <w:rFonts w:ascii="Times New Roman" w:eastAsia="宋体" w:hAnsi="Times New Roman" w:cs="Times New Roman"/>
          <w:sz w:val="24"/>
          <w:szCs w:val="21"/>
        </w:rPr>
        <w:t>Figure S</w:t>
      </w:r>
      <w:r>
        <w:rPr>
          <w:rFonts w:ascii="Times New Roman" w:eastAsia="宋体" w:hAnsi="Times New Roman" w:cs="Times New Roman"/>
          <w:sz w:val="24"/>
          <w:szCs w:val="21"/>
        </w:rPr>
        <w:t>1</w:t>
      </w:r>
      <w:r w:rsidRPr="00B239D0">
        <w:rPr>
          <w:rFonts w:ascii="Times New Roman" w:eastAsia="宋体" w:hAnsi="Times New Roman" w:cs="Times New Roman"/>
          <w:sz w:val="24"/>
          <w:szCs w:val="21"/>
        </w:rPr>
        <w:t>.</w:t>
      </w:r>
    </w:p>
    <w:p w14:paraId="218FB5F4" w14:textId="77777777" w:rsidR="0020202E" w:rsidRPr="00BF3E3B" w:rsidRDefault="0020202E" w:rsidP="0020202E">
      <w:pPr>
        <w:spacing w:beforeLines="50" w:before="156" w:afterLines="50" w:after="156" w:line="276" w:lineRule="auto"/>
        <w:ind w:firstLineChars="100" w:firstLine="240"/>
        <w:rPr>
          <w:rFonts w:ascii="Times New Roman" w:eastAsia="宋体" w:hAnsi="Times New Roman" w:cs="Times New Roman"/>
          <w:sz w:val="24"/>
          <w:szCs w:val="21"/>
        </w:rPr>
      </w:pPr>
      <w:r w:rsidRPr="005C60FF">
        <w:rPr>
          <w:rFonts w:ascii="Times New Roman" w:eastAsia="宋体" w:hAnsi="Times New Roman" w:cs="Times New Roman"/>
          <w:sz w:val="24"/>
          <w:szCs w:val="21"/>
        </w:rPr>
        <w:t>After processing, a total of 27,045 compounds with classification labels were collected, of which 4,395 had explicit IC</w:t>
      </w:r>
      <w:r w:rsidRPr="005C60FF">
        <w:rPr>
          <w:rFonts w:ascii="Times New Roman" w:eastAsia="宋体" w:hAnsi="Times New Roman" w:cs="Times New Roman"/>
          <w:sz w:val="24"/>
          <w:szCs w:val="21"/>
          <w:vertAlign w:val="subscript"/>
        </w:rPr>
        <w:t>50</w:t>
      </w:r>
      <w:r w:rsidRPr="005C60FF">
        <w:rPr>
          <w:rFonts w:ascii="Times New Roman" w:eastAsia="宋体" w:hAnsi="Times New Roman" w:cs="Times New Roman"/>
          <w:sz w:val="24"/>
          <w:szCs w:val="21"/>
        </w:rPr>
        <w:t xml:space="preserve"> values (Figure 1).</w:t>
      </w:r>
    </w:p>
    <w:p w14:paraId="21440F62" w14:textId="77777777" w:rsidR="0020202E" w:rsidRPr="007829B5" w:rsidRDefault="0020202E" w:rsidP="007829B5">
      <w:pPr>
        <w:pStyle w:val="2"/>
        <w:rPr>
          <w:rFonts w:ascii="Times New Roman" w:eastAsia="宋体" w:hAnsi="Times New Roman" w:cs="Times New Roman"/>
          <w:b w:val="0"/>
          <w:bCs w:val="0"/>
        </w:rPr>
      </w:pPr>
      <w:r w:rsidRPr="007829B5">
        <w:rPr>
          <w:rFonts w:ascii="Times New Roman" w:eastAsia="宋体" w:hAnsi="Times New Roman" w:cs="Times New Roman"/>
          <w:b w:val="0"/>
          <w:bCs w:val="0"/>
          <w:szCs w:val="22"/>
        </w:rPr>
        <w:lastRenderedPageBreak/>
        <w:t>2.2 Model Construction and Optimization</w:t>
      </w:r>
    </w:p>
    <w:p w14:paraId="1DF9FD99" w14:textId="75ACF167" w:rsidR="001A6A0C" w:rsidRPr="007829B5" w:rsidRDefault="001A6A0C" w:rsidP="007829B5">
      <w:pPr>
        <w:pStyle w:val="3"/>
        <w:rPr>
          <w:rFonts w:ascii="Times New Roman" w:eastAsia="宋体" w:hAnsi="Times New Roman" w:cs="Times New Roman"/>
          <w:b w:val="0"/>
          <w:bCs w:val="0"/>
          <w:sz w:val="28"/>
          <w:szCs w:val="21"/>
        </w:rPr>
      </w:pPr>
      <w:r w:rsidRPr="007829B5">
        <w:rPr>
          <w:rFonts w:ascii="Times New Roman" w:eastAsia="宋体" w:hAnsi="Times New Roman" w:cs="Times New Roman"/>
          <w:b w:val="0"/>
          <w:bCs w:val="0"/>
          <w:sz w:val="28"/>
          <w:szCs w:val="28"/>
        </w:rPr>
        <w:t>2.2.1 Molecular Representation</w:t>
      </w:r>
    </w:p>
    <w:p w14:paraId="17146274" w14:textId="3B809A58" w:rsidR="0020202E" w:rsidRPr="005C60FF" w:rsidRDefault="0020202E" w:rsidP="0020202E">
      <w:pPr>
        <w:spacing w:beforeLines="50" w:before="156" w:afterLines="50" w:after="156" w:line="276" w:lineRule="auto"/>
        <w:ind w:firstLineChars="100" w:firstLine="240"/>
        <w:rPr>
          <w:rFonts w:ascii="Times New Roman" w:eastAsia="宋体" w:hAnsi="Times New Roman" w:cs="Times New Roman"/>
          <w:sz w:val="24"/>
          <w:szCs w:val="21"/>
        </w:rPr>
      </w:pPr>
      <w:r w:rsidRPr="005C60FF">
        <w:rPr>
          <w:rFonts w:ascii="Times New Roman" w:eastAsia="宋体" w:hAnsi="Times New Roman" w:cs="Times New Roman"/>
          <w:sz w:val="24"/>
          <w:szCs w:val="21"/>
        </w:rPr>
        <w:t>Molecular fingerprints are vectors that encode molecular structural characteristics, extensively used in drug design, virtual screening, and similarity comparisons.</w:t>
      </w:r>
      <w:r w:rsidR="00B945C0">
        <w:rPr>
          <w:rFonts w:ascii="Times New Roman" w:eastAsia="宋体" w:hAnsi="Times New Roman" w:cs="Times New Roman"/>
          <w:sz w:val="24"/>
          <w:szCs w:val="21"/>
        </w:rPr>
        <w:fldChar w:fldCharType="begin"/>
      </w:r>
      <w:r w:rsidR="00574BE3">
        <w:rPr>
          <w:rFonts w:ascii="Times New Roman" w:eastAsia="宋体" w:hAnsi="Times New Roman" w:cs="Times New Roman"/>
          <w:sz w:val="24"/>
          <w:szCs w:val="21"/>
        </w:rPr>
        <w:instrText xml:space="preserve"> ADDIN ZOTERO_ITEM CSL_CITATION {"citationID":"HNfz9ac4","properties":{"formattedCitation":"\\super 26,48,49\\nosupersub{}","plainCitation":"26,48,49","noteIndex":0},"citationItems":[{"id":2374,"uris":["http://zotero.org/users/9157699/items/A6M3AJI7"],"itemData":{"id":2374,"type":"article-journal","abstract":"MOTIVATION: The absorption, distribution, metabolism, excretion, and toxicity (ADMET) of drugs plays a key role in determining which among the potential candidates are to be prioritized. In silico approaches based on machine learning methods are becoming increasing popular, but are nonetheless limited by the availability of data. With a view to making both data and models available to the scientific community, we have developed FPADMET which is a repository of molecular fingerprint-based predictive models for ADMET properties. In this article, we have examined the efficacy of fingerprint-based machine learning models for a large number of ADMET-related properties. The predictive ability of a set of 20 different binary fingerprints (based on substructure keys, atom pairs, local path environments, as well as custom fingerprints such as all-shortest paths) for over 50 ADMET and ADMET-related endpoints have been evaluated as part of the study. We find that for a majority of the properties, fingerprint-based random forest models yield comparable or better performance compared with traditional 2D/3D molecular descriptors.\nAVAILABILITY: The models are made available as part of open access software that can be downloaded from https://gitlab.com/vishsoft/fpadmet .","container-title":"Journal of Cheminformatics","DOI":"10.1186/s13321-021-00557-5","ISSN":"1758-2946","issue":"1","journalAbbreviation":"J Cheminform","language":"eng","note":"PMID: 34583740\nPMCID: PMC8479898","page":"75","source":"PubMed","title":"FP-ADMET: a compendium of fingerprint-based ADMET prediction models","title-short":"FP-ADMET","volume":"13","author":[{"family":"Venkatraman","given":"Vishwesh"}],"issued":{"date-parts":[["2021",9,28]]}}},{"id":750,"uris":["http://zotero.org/users/9157699/items/PMPV62EL"],"itemData":{"id":750,"type":"article-journal","abstract":"OCT1 is the most highly expressed cation transporter in the liver and affects pharmacokinetics and pharmacodynamics. Newly marketed drugs have previously been screened as potential OCT1 substrates and verified by virtual docking. Here, we used machine learning with transport experiment data to predict OCT1 substrates based on classic molecular descriptors, pharmacophore features, and extended-connectivity fingerprints and confirmed them by in vitro uptake experiments. We virtually screened a database of more than 1000 substances. Nineteen predicted substances were chosen for in vitro testing. Sixteen of the 19 newly tested substances (85%) were confirmed as, mostly strong, substrates, including edrophonium, fenpiverinium, ritodrine, and ractopamine. Even without a crystal structure of OCT1, machine learning algorithms predict substrates accurately and may contribute not only to a more focused screening in drug development but also to a better molecular understanding of OCT1 in general.","container-title":"Journal of Medicinal Chemistry","DOI":"10.1021/acs.jmedchem.0c02047","ISSN":"0022-2623","issue":"5","journalAbbreviation":"J. Med. Chem.","note":"publisher: American Chemical Society","page":"2762-2776","source":"ACS Publications","title":"Identification of Novel High-Affinity Substrates of OCT1 Using Machine Learning-Guided Virtual Screening and Experimental Validation","volume":"64","author":[{"family":"Jensen","given":"Ole"},{"family":"Brockmöller","given":"Jürgen"},{"family":"Dücker","given":"Christof"}],"issued":{"date-parts":[["2021",3,11]]}}},{"id":915,"uris":["http://zotero.org/users/9157699/items/BFP962Y5"],"itemData":{"id":915,"type":"article-journal","abstract":"In recent years, the debate in the field of applications of Deep Learning to Virtual Screening has focused on the use of neural embeddings with respect to classical descriptors in order to encode both structural and physical properties of ligands and/or targets. The attention on embeddings with the increasing use of Graph Neural Networks aimed at overcoming molecular fingerprints that are short range embeddings for atomic neighborhoods. Here, we present EMBER, a novel molecular embedding made by seven molecular fingerprints arranged as different “spectra” to describe the same molecule, and we prove its effectiveness by using deep convolutional architecture that assesses ligands’ bioactivity on a data set containing twenty protein kinases with similar binding sites to CDK1. The data set itself is presented, and the architecture is explained in detail along with its training procedure. We report experimental results and an explainability analysis to assess the contribution of each fingerprint to different targets.","container-title":"International Journal of Molecular Sciences","DOI":"10.3390/ijms23042156","ISSN":"1422-0067","issue":"4","language":"en","license":"http://creativecommons.org/licenses/by/3.0/","note":"number: 4\npublisher: Multidisciplinary Digital Publishing Institute","page":"2156","source":"www.mdpi.com","title":"EMBER—Embedding Multiple Molecular Fingerprints for Virtual Screening","volume":"23","author":[{"family":"Mendolia","given":"Isabella"},{"family":"Contino","given":"Salvatore"},{"family":"De Simone","given":"Giada"},{"family":"Perricone","given":"Ugo"},{"family":"Pirrone","given":"Roberto"}],"issued":{"date-parts":[["2022",1]]}}}],"schema":"https://github.com/citation-style-language/schema/raw/master/csl-citation.json"} </w:instrText>
      </w:r>
      <w:r w:rsidR="00B945C0">
        <w:rPr>
          <w:rFonts w:ascii="Times New Roman" w:eastAsia="宋体" w:hAnsi="Times New Roman" w:cs="Times New Roman"/>
          <w:sz w:val="24"/>
          <w:szCs w:val="21"/>
        </w:rPr>
        <w:fldChar w:fldCharType="separate"/>
      </w:r>
      <w:r w:rsidR="00574BE3" w:rsidRPr="00574BE3">
        <w:rPr>
          <w:rFonts w:ascii="Times New Roman" w:hAnsi="Times New Roman" w:cs="Times New Roman"/>
          <w:kern w:val="0"/>
          <w:sz w:val="24"/>
          <w:szCs w:val="24"/>
          <w:vertAlign w:val="superscript"/>
        </w:rPr>
        <w:t>26,48,49</w:t>
      </w:r>
      <w:r w:rsidR="00B945C0">
        <w:rPr>
          <w:rFonts w:ascii="Times New Roman" w:eastAsia="宋体" w:hAnsi="Times New Roman" w:cs="Times New Roman"/>
          <w:sz w:val="24"/>
          <w:szCs w:val="21"/>
        </w:rPr>
        <w:fldChar w:fldCharType="end"/>
      </w:r>
      <w:r w:rsidRPr="005C60FF">
        <w:rPr>
          <w:rFonts w:ascii="Times New Roman" w:eastAsia="宋体" w:hAnsi="Times New Roman" w:cs="Times New Roman"/>
          <w:sz w:val="24"/>
          <w:szCs w:val="21"/>
        </w:rPr>
        <w:t xml:space="preserve"> Different types of molecular fingerprints are suitable for specific tasks, and exhibit varying performance under different requirements.</w:t>
      </w:r>
      <w:r w:rsidR="00574BE3">
        <w:rPr>
          <w:rFonts w:ascii="Times New Roman" w:eastAsia="宋体" w:hAnsi="Times New Roman" w:cs="Times New Roman"/>
          <w:sz w:val="24"/>
          <w:szCs w:val="21"/>
        </w:rPr>
        <w:fldChar w:fldCharType="begin"/>
      </w:r>
      <w:r w:rsidR="00574BE3">
        <w:rPr>
          <w:rFonts w:ascii="Times New Roman" w:eastAsia="宋体" w:hAnsi="Times New Roman" w:cs="Times New Roman"/>
          <w:sz w:val="24"/>
          <w:szCs w:val="21"/>
        </w:rPr>
        <w:instrText xml:space="preserve"> ADDIN ZOTERO_ITEM CSL_CITATION {"citationID":"ki9lqAM6","properties":{"formattedCitation":"\\super 50\\nosupersub{}","plainCitation":"50","noteIndex":0},"citationItems":[{"id":2430,"uris":["http://zotero.org/users/9157699/items/Y48EYHAF"],"itemData":{"id":2430,"type":"article-journal","abstract":"Extended-connectivity fingerprints (ECFPs) are a novel class of topological fingerprints for molecular characterization. Historically, topological fingerprints were developed for substructure and similarity searching. ECFPs were developed specifically for structure−activity modeling. ECFPs are circular fingerprints with a number of useful qualities: they can be very rapidly calculated; they are not predefined and can represent an essentially infinite number of different molecular features (including stereochemical information); their features represent the presence of particular substructures, allowing easier interpretation of analysis results; and the ECFP algorithm can be tailored to generate different types of circular fingerprints, optimized for different uses. While the use of ECFPs has been widely adopted and validated, a description of their implementation has not previously been presented in the literature.","container-title":"Journal of Chemical Information and Modeling","DOI":"10.1021/ci100050t","ISSN":"1549-9596","issue":"5","journalAbbreviation":"J. Chem. Inf. Model.","note":"publisher: American Chemical Society","page":"742-754","source":"ACS Publications","title":"Extended-Connectivity Fingerprints","volume":"50","author":[{"family":"Rogers","given":"David"},{"family":"Hahn","given":"Mathew"}],"issued":{"date-parts":[["2010",5,24]]}}}],"schema":"https://github.com/citation-style-language/schema/raw/master/csl-citation.json"} </w:instrText>
      </w:r>
      <w:r w:rsidR="00574BE3">
        <w:rPr>
          <w:rFonts w:ascii="Times New Roman" w:eastAsia="宋体" w:hAnsi="Times New Roman" w:cs="Times New Roman"/>
          <w:sz w:val="24"/>
          <w:szCs w:val="21"/>
        </w:rPr>
        <w:fldChar w:fldCharType="separate"/>
      </w:r>
      <w:r w:rsidR="00574BE3" w:rsidRPr="00574BE3">
        <w:rPr>
          <w:rFonts w:ascii="Times New Roman" w:hAnsi="Times New Roman" w:cs="Times New Roman"/>
          <w:kern w:val="0"/>
          <w:sz w:val="24"/>
          <w:szCs w:val="24"/>
          <w:vertAlign w:val="superscript"/>
        </w:rPr>
        <w:t>50</w:t>
      </w:r>
      <w:r w:rsidR="00574BE3">
        <w:rPr>
          <w:rFonts w:ascii="Times New Roman" w:eastAsia="宋体" w:hAnsi="Times New Roman" w:cs="Times New Roman"/>
          <w:sz w:val="24"/>
          <w:szCs w:val="21"/>
        </w:rPr>
        <w:fldChar w:fldCharType="end"/>
      </w:r>
      <w:r w:rsidRPr="005C60FF">
        <w:rPr>
          <w:rFonts w:ascii="Times New Roman" w:eastAsia="宋体" w:hAnsi="Times New Roman" w:cs="Times New Roman"/>
          <w:sz w:val="24"/>
          <w:szCs w:val="21"/>
        </w:rPr>
        <w:t xml:space="preserve"> The selection of appropriate fingerprints for ML models significantly impacts their performance and generalizability. Here, we systematically evaluated the model performance of 15 popular fingerprints, including linear connectivity fingerprints (</w:t>
      </w:r>
      <w:proofErr w:type="spellStart"/>
      <w:r w:rsidRPr="005C60FF">
        <w:rPr>
          <w:rFonts w:ascii="Times New Roman" w:eastAsia="宋体" w:hAnsi="Times New Roman" w:cs="Times New Roman"/>
          <w:sz w:val="24"/>
          <w:szCs w:val="21"/>
        </w:rPr>
        <w:t>RDKit</w:t>
      </w:r>
      <w:proofErr w:type="spellEnd"/>
      <w:r w:rsidRPr="005C60FF">
        <w:rPr>
          <w:rFonts w:ascii="Times New Roman" w:eastAsia="宋体" w:hAnsi="Times New Roman" w:cs="Times New Roman"/>
          <w:sz w:val="24"/>
          <w:szCs w:val="21"/>
        </w:rPr>
        <w:t xml:space="preserve">, AP2D, APC, </w:t>
      </w:r>
      <w:proofErr w:type="spellStart"/>
      <w:r w:rsidRPr="005C60FF">
        <w:rPr>
          <w:rFonts w:ascii="Times New Roman" w:eastAsia="宋体" w:hAnsi="Times New Roman" w:cs="Times New Roman"/>
          <w:sz w:val="24"/>
          <w:szCs w:val="21"/>
        </w:rPr>
        <w:t>EStateFP</w:t>
      </w:r>
      <w:proofErr w:type="spellEnd"/>
      <w:r w:rsidRPr="005C60FF">
        <w:rPr>
          <w:rFonts w:ascii="Times New Roman" w:eastAsia="宋体" w:hAnsi="Times New Roman" w:cs="Times New Roman"/>
          <w:sz w:val="24"/>
          <w:szCs w:val="21"/>
        </w:rPr>
        <w:t xml:space="preserve">), circular fingerprints (ECFP6, FCFP4, Morgan), and substructure fingerprints (MACCS, PubChem, </w:t>
      </w:r>
      <w:proofErr w:type="spellStart"/>
      <w:r w:rsidRPr="005C60FF">
        <w:rPr>
          <w:rFonts w:ascii="Times New Roman" w:eastAsia="宋体" w:hAnsi="Times New Roman" w:cs="Times New Roman"/>
          <w:sz w:val="24"/>
          <w:szCs w:val="21"/>
        </w:rPr>
        <w:t>SubFP</w:t>
      </w:r>
      <w:proofErr w:type="spellEnd"/>
      <w:r w:rsidRPr="005C60FF">
        <w:rPr>
          <w:rFonts w:ascii="Times New Roman" w:eastAsia="宋体" w:hAnsi="Times New Roman" w:cs="Times New Roman"/>
          <w:sz w:val="24"/>
          <w:szCs w:val="21"/>
        </w:rPr>
        <w:t xml:space="preserve">, </w:t>
      </w:r>
      <w:proofErr w:type="spellStart"/>
      <w:r w:rsidRPr="005C60FF">
        <w:rPr>
          <w:rFonts w:ascii="Times New Roman" w:eastAsia="宋体" w:hAnsi="Times New Roman" w:cs="Times New Roman"/>
          <w:sz w:val="24"/>
          <w:szCs w:val="21"/>
        </w:rPr>
        <w:t>SubFPC</w:t>
      </w:r>
      <w:proofErr w:type="spellEnd"/>
      <w:r w:rsidRPr="005C60FF">
        <w:rPr>
          <w:rFonts w:ascii="Times New Roman" w:eastAsia="宋体" w:hAnsi="Times New Roman" w:cs="Times New Roman"/>
          <w:sz w:val="24"/>
          <w:szCs w:val="21"/>
        </w:rPr>
        <w:t>) (</w:t>
      </w:r>
      <w:r w:rsidRPr="008D7DDA">
        <w:rPr>
          <w:rFonts w:ascii="Times New Roman" w:eastAsia="宋体" w:hAnsi="Times New Roman" w:cs="Times New Roman"/>
          <w:sz w:val="24"/>
          <w:szCs w:val="21"/>
        </w:rPr>
        <w:t>Table S</w:t>
      </w:r>
      <w:r>
        <w:rPr>
          <w:rFonts w:ascii="Times New Roman" w:eastAsia="宋体" w:hAnsi="Times New Roman" w:cs="Times New Roman"/>
          <w:sz w:val="24"/>
          <w:szCs w:val="21"/>
        </w:rPr>
        <w:t>1</w:t>
      </w:r>
      <w:r w:rsidRPr="005C60FF">
        <w:rPr>
          <w:rFonts w:ascii="Times New Roman" w:eastAsia="宋体" w:hAnsi="Times New Roman" w:cs="Times New Roman"/>
          <w:sz w:val="24"/>
          <w:szCs w:val="21"/>
        </w:rPr>
        <w:t xml:space="preserve">). All fingerprints were calculated by PaDEL package (Version 3) and </w:t>
      </w:r>
      <w:proofErr w:type="spellStart"/>
      <w:r w:rsidRPr="005C60FF">
        <w:rPr>
          <w:rFonts w:ascii="Times New Roman" w:eastAsia="宋体" w:hAnsi="Times New Roman" w:cs="Times New Roman"/>
          <w:sz w:val="24"/>
          <w:szCs w:val="21"/>
        </w:rPr>
        <w:t>RDKit</w:t>
      </w:r>
      <w:proofErr w:type="spellEnd"/>
      <w:r w:rsidRPr="005C60FF">
        <w:rPr>
          <w:rFonts w:ascii="Times New Roman" w:eastAsia="宋体" w:hAnsi="Times New Roman" w:cs="Times New Roman"/>
          <w:sz w:val="24"/>
          <w:szCs w:val="21"/>
        </w:rPr>
        <w:t xml:space="preserve"> (Version 2022.9.5).</w:t>
      </w:r>
    </w:p>
    <w:p w14:paraId="0411B0F8" w14:textId="5F23D5AD" w:rsidR="0020202E" w:rsidRPr="005C60FF" w:rsidRDefault="0020202E" w:rsidP="0020202E">
      <w:pPr>
        <w:spacing w:beforeLines="50" w:before="156" w:afterLines="50" w:after="156" w:line="276" w:lineRule="auto"/>
        <w:ind w:firstLineChars="100" w:firstLine="240"/>
        <w:rPr>
          <w:rFonts w:ascii="Times New Roman" w:eastAsia="宋体" w:hAnsi="Times New Roman" w:cs="Times New Roman"/>
          <w:sz w:val="24"/>
          <w:szCs w:val="21"/>
        </w:rPr>
      </w:pPr>
      <w:r w:rsidRPr="005C60FF">
        <w:rPr>
          <w:rFonts w:ascii="Times New Roman" w:eastAsia="宋体" w:hAnsi="Times New Roman" w:cs="Times New Roman"/>
          <w:sz w:val="24"/>
          <w:szCs w:val="21"/>
        </w:rPr>
        <w:t xml:space="preserve">Moreover, recognizing that standalone molecular fingerprints inherently capture certain information of chemical molecules, we explored the performance of </w:t>
      </w:r>
      <w:r w:rsidR="00C7625C">
        <w:rPr>
          <w:rFonts w:ascii="Times New Roman" w:eastAsia="宋体" w:hAnsi="Times New Roman" w:cs="Times New Roman"/>
          <w:sz w:val="24"/>
          <w:szCs w:val="21"/>
        </w:rPr>
        <w:t>coupling</w:t>
      </w:r>
      <w:r w:rsidR="00C7625C" w:rsidRPr="005C60FF">
        <w:rPr>
          <w:rFonts w:ascii="Times New Roman" w:eastAsia="宋体" w:hAnsi="Times New Roman" w:cs="Times New Roman"/>
          <w:sz w:val="24"/>
          <w:szCs w:val="21"/>
        </w:rPr>
        <w:t xml:space="preserve"> </w:t>
      </w:r>
      <w:r w:rsidRPr="005C60FF">
        <w:rPr>
          <w:rFonts w:ascii="Times New Roman" w:eastAsia="宋体" w:hAnsi="Times New Roman" w:cs="Times New Roman"/>
          <w:sz w:val="24"/>
          <w:szCs w:val="21"/>
        </w:rPr>
        <w:t>fingerprints obtained by combining two fingerprints in three different ways: (1) Feature selection by Group-Lasso</w:t>
      </w:r>
      <w:r w:rsidRPr="004C52D9">
        <w:rPr>
          <w:rFonts w:ascii="Times New Roman" w:eastAsia="宋体" w:hAnsi="Times New Roman" w:cs="Times New Roman"/>
          <w:sz w:val="24"/>
          <w:szCs w:val="21"/>
        </w:rPr>
        <w:t xml:space="preserve"> (GL) </w:t>
      </w:r>
      <w:r w:rsidRPr="005C60FF">
        <w:rPr>
          <w:rFonts w:ascii="Times New Roman" w:eastAsia="宋体" w:hAnsi="Times New Roman" w:cs="Times New Roman"/>
          <w:sz w:val="24"/>
          <w:szCs w:val="21"/>
        </w:rPr>
        <w:t>algorithm</w:t>
      </w:r>
      <w:r w:rsidR="00574BE3">
        <w:rPr>
          <w:rFonts w:ascii="Times New Roman" w:eastAsia="宋体" w:hAnsi="Times New Roman" w:cs="Times New Roman"/>
          <w:sz w:val="24"/>
          <w:szCs w:val="21"/>
        </w:rPr>
        <w:fldChar w:fldCharType="begin"/>
      </w:r>
      <w:r w:rsidR="00574BE3">
        <w:rPr>
          <w:rFonts w:ascii="Times New Roman" w:eastAsia="宋体" w:hAnsi="Times New Roman" w:cs="Times New Roman"/>
          <w:sz w:val="24"/>
          <w:szCs w:val="21"/>
        </w:rPr>
        <w:instrText xml:space="preserve"> ADDIN ZOTERO_ITEM CSL_CITATION {"citationID":"9UeyC1TU","properties":{"formattedCitation":"\\super 51\\nosupersub{}","plainCitation":"51","noteIndex":0},"citationItems":[{"id":2432,"uris":["http://zotero.org/users/9157699/items/RSHW2PI7"],"itemData":{"id":2432,"type":"article-journal","abstract":"Identification of parametric nonlinear models involves estimating unknown parameters and detecting its underlying structure. Structure computation is concerned with selecting a subset of parameters to give a parsimonious description of the system which may afford greater insight into the functionality of the system or a simpler controller design. In this study, a least absolute shrinkage and selection operator (LASSO) technique is investigated for computing efficient model descriptions of nonlinear systems. The LASSO minimises the residual sum of squares by the addition of a ℓ1 penalty term on the parameter vector of the traditional ℓ2 minimisation problem. Its use for structure detection is a natural extension of this constrained minimisation approach to pseudolinear regression problems which produces some model parameters that are exactly zero and, therefore, yields a parsimonious system description. The performance of this LASSO structure detection method was evaluated by using it to estimate the structure of a nonlinear polynomial model. Applicability of the method to more complex systems such as those encountered in aerospace applications was shown by identifying a parsimonious system description of the F/A-18 Active Aeroelastic Wing using flight test data.","collection-title":"14th IFAC Symposium on Identification and System Parameter Estimation","container-title":"IFAC Proceedings Volumes","DOI":"10.3182/20060329-3-AU-2901.00128","ISSN":"1474-6670","issue":"1","journalAbbreviation":"IFAC Proceedings Volumes","language":"en","page":"814-819","source":"ScienceDirect","title":"A LEAST ABSOLUTE SHRINKAGE AND SELECTION OPERATOR (LASSO) FOR NONLINEAR SYSTEM IDENTIFICATION","volume":"39","author":[{"family":"Kukreja","given":"Sunil L."},{"family":"Löfberg","given":"Johan"},{"family":"Brenner","given":"Martin J."}],"issued":{"date-parts":[["2006",1,1]]}}}],"schema":"https://github.com/citation-style-language/schema/raw/master/csl-citation.json"} </w:instrText>
      </w:r>
      <w:r w:rsidR="00574BE3">
        <w:rPr>
          <w:rFonts w:ascii="Times New Roman" w:eastAsia="宋体" w:hAnsi="Times New Roman" w:cs="Times New Roman"/>
          <w:sz w:val="24"/>
          <w:szCs w:val="21"/>
        </w:rPr>
        <w:fldChar w:fldCharType="separate"/>
      </w:r>
      <w:r w:rsidR="00574BE3" w:rsidRPr="00574BE3">
        <w:rPr>
          <w:rFonts w:ascii="Times New Roman" w:hAnsi="Times New Roman" w:cs="Times New Roman"/>
          <w:kern w:val="0"/>
          <w:sz w:val="24"/>
          <w:szCs w:val="24"/>
          <w:vertAlign w:val="superscript"/>
        </w:rPr>
        <w:t>51</w:t>
      </w:r>
      <w:r w:rsidR="00574BE3">
        <w:rPr>
          <w:rFonts w:ascii="Times New Roman" w:eastAsia="宋体" w:hAnsi="Times New Roman" w:cs="Times New Roman"/>
          <w:sz w:val="24"/>
          <w:szCs w:val="21"/>
        </w:rPr>
        <w:fldChar w:fldCharType="end"/>
      </w:r>
      <w:r w:rsidRPr="005C60FF">
        <w:rPr>
          <w:rFonts w:ascii="Times New Roman" w:eastAsia="宋体" w:hAnsi="Times New Roman" w:cs="Times New Roman"/>
          <w:sz w:val="24"/>
          <w:szCs w:val="21"/>
        </w:rPr>
        <w:t xml:space="preserve">: The extension of the Least Absolute Shrinkage and Selection Operator (LASSO) simultaneously performs individual feature selection and group-level sparsity, effectively identifying the most informative features and relevant groups to enhance ML models. (2) Pearson correlation coefficient (PCC) evaluation: PCC is calculated for each fingerprint pair, and the least related groups are combined to create a complementary and non-redundant </w:t>
      </w:r>
      <w:r w:rsidR="00953647">
        <w:rPr>
          <w:rFonts w:ascii="Times New Roman" w:hAnsi="Times New Roman" w:cs="Times New Roman"/>
          <w:sz w:val="24"/>
          <w:szCs w:val="21"/>
        </w:rPr>
        <w:t xml:space="preserve">coupling </w:t>
      </w:r>
      <w:r w:rsidRPr="005C60FF">
        <w:rPr>
          <w:rFonts w:ascii="Times New Roman" w:eastAsia="宋体" w:hAnsi="Times New Roman" w:cs="Times New Roman"/>
          <w:sz w:val="24"/>
          <w:szCs w:val="21"/>
        </w:rPr>
        <w:t xml:space="preserve">fingerprint. (3) Concatenation of the </w:t>
      </w:r>
      <w:r w:rsidRPr="004C52D9">
        <w:rPr>
          <w:rFonts w:ascii="Times New Roman" w:eastAsia="宋体" w:hAnsi="Times New Roman" w:cs="Times New Roman"/>
          <w:sz w:val="24"/>
          <w:szCs w:val="21"/>
        </w:rPr>
        <w:t>top-</w:t>
      </w:r>
      <w:r w:rsidRPr="005C60FF">
        <w:rPr>
          <w:rFonts w:ascii="Times New Roman" w:eastAsia="宋体" w:hAnsi="Times New Roman" w:cs="Times New Roman"/>
          <w:sz w:val="24"/>
          <w:szCs w:val="21"/>
        </w:rPr>
        <w:t xml:space="preserve">performing </w:t>
      </w:r>
      <w:r w:rsidRPr="004C52D9">
        <w:rPr>
          <w:rFonts w:ascii="Times New Roman" w:eastAsia="宋体" w:hAnsi="Times New Roman" w:cs="Times New Roman"/>
          <w:sz w:val="24"/>
          <w:szCs w:val="21"/>
        </w:rPr>
        <w:t xml:space="preserve">single </w:t>
      </w:r>
      <w:r w:rsidRPr="005C60FF">
        <w:rPr>
          <w:rFonts w:ascii="Times New Roman" w:eastAsia="宋体" w:hAnsi="Times New Roman" w:cs="Times New Roman"/>
          <w:sz w:val="24"/>
          <w:szCs w:val="21"/>
        </w:rPr>
        <w:t>fingerprints</w:t>
      </w:r>
      <w:r w:rsidRPr="004C52D9">
        <w:rPr>
          <w:rFonts w:ascii="Times New Roman" w:eastAsia="宋体" w:hAnsi="Times New Roman" w:cs="Times New Roman"/>
          <w:sz w:val="24"/>
          <w:szCs w:val="21"/>
        </w:rPr>
        <w:t xml:space="preserve"> (TOP)</w:t>
      </w:r>
      <w:r w:rsidRPr="005C60FF">
        <w:rPr>
          <w:rFonts w:ascii="Times New Roman" w:eastAsia="宋体" w:hAnsi="Times New Roman" w:cs="Times New Roman"/>
          <w:sz w:val="24"/>
          <w:szCs w:val="21"/>
        </w:rPr>
        <w:t>: The two fingerprints with the best individual performance are combined, aiming to leverage their strengths for potentially improved predictions.</w:t>
      </w:r>
    </w:p>
    <w:p w14:paraId="35BECFBE" w14:textId="77777777" w:rsidR="0020202E" w:rsidRPr="007829B5" w:rsidRDefault="0020202E" w:rsidP="007829B5">
      <w:pPr>
        <w:pStyle w:val="3"/>
        <w:rPr>
          <w:rFonts w:ascii="Times New Roman" w:eastAsia="宋体" w:hAnsi="Times New Roman" w:cs="Times New Roman"/>
          <w:b w:val="0"/>
          <w:bCs w:val="0"/>
          <w:sz w:val="28"/>
          <w:szCs w:val="21"/>
        </w:rPr>
      </w:pPr>
      <w:r w:rsidRPr="007829B5">
        <w:rPr>
          <w:rFonts w:ascii="Times New Roman" w:eastAsia="宋体" w:hAnsi="Times New Roman" w:cs="Times New Roman"/>
          <w:b w:val="0"/>
          <w:bCs w:val="0"/>
          <w:sz w:val="28"/>
          <w:szCs w:val="21"/>
        </w:rPr>
        <w:t>2.2.2 Model Architecture</w:t>
      </w:r>
    </w:p>
    <w:p w14:paraId="743487F5" w14:textId="66D8AC9D" w:rsidR="0020202E" w:rsidRPr="004C52D9" w:rsidRDefault="0020202E" w:rsidP="0020202E">
      <w:pPr>
        <w:spacing w:beforeLines="50" w:before="156" w:afterLines="50" w:after="156" w:line="276" w:lineRule="auto"/>
        <w:ind w:firstLineChars="100" w:firstLine="240"/>
        <w:rPr>
          <w:rFonts w:ascii="Times New Roman" w:eastAsia="宋体" w:hAnsi="Times New Roman" w:cs="Times New Roman"/>
          <w:strike/>
          <w:sz w:val="24"/>
          <w:szCs w:val="21"/>
          <w:u w:val="single"/>
        </w:rPr>
      </w:pPr>
      <w:r w:rsidRPr="005C60FF">
        <w:rPr>
          <w:rFonts w:ascii="Times New Roman" w:eastAsia="宋体" w:hAnsi="Times New Roman" w:cs="Times New Roman"/>
          <w:sz w:val="24"/>
          <w:szCs w:val="21"/>
        </w:rPr>
        <w:t xml:space="preserve">The model framework </w:t>
      </w:r>
      <w:r w:rsidRPr="004C52D9">
        <w:rPr>
          <w:rFonts w:ascii="Times New Roman" w:eastAsia="宋体" w:hAnsi="Times New Roman" w:cs="Times New Roman"/>
          <w:sz w:val="24"/>
          <w:szCs w:val="21"/>
        </w:rPr>
        <w:t>comprises three key components</w:t>
      </w:r>
      <w:r w:rsidRPr="005C60FF">
        <w:rPr>
          <w:rFonts w:ascii="Times New Roman" w:eastAsia="宋体" w:hAnsi="Times New Roman" w:cs="Times New Roman"/>
          <w:sz w:val="24"/>
          <w:szCs w:val="21"/>
        </w:rPr>
        <w:t xml:space="preserve">: </w:t>
      </w:r>
      <w:r w:rsidRPr="004C52D9">
        <w:rPr>
          <w:rFonts w:ascii="Times New Roman" w:eastAsia="宋体" w:hAnsi="Times New Roman" w:cs="Times New Roman"/>
          <w:sz w:val="24"/>
          <w:szCs w:val="21"/>
        </w:rPr>
        <w:t xml:space="preserve">the </w:t>
      </w:r>
      <w:r w:rsidRPr="005C60FF">
        <w:rPr>
          <w:rFonts w:ascii="Times New Roman" w:eastAsia="宋体" w:hAnsi="Times New Roman" w:cs="Times New Roman"/>
          <w:sz w:val="24"/>
          <w:szCs w:val="21"/>
        </w:rPr>
        <w:t xml:space="preserve">Classification </w:t>
      </w:r>
      <w:r w:rsidRPr="004C52D9">
        <w:rPr>
          <w:rFonts w:ascii="Times New Roman" w:eastAsia="宋体" w:hAnsi="Times New Roman" w:cs="Times New Roman"/>
          <w:sz w:val="24"/>
          <w:szCs w:val="21"/>
        </w:rPr>
        <w:t>m</w:t>
      </w:r>
      <w:r w:rsidRPr="005C60FF">
        <w:rPr>
          <w:rFonts w:ascii="Times New Roman" w:eastAsia="宋体" w:hAnsi="Times New Roman" w:cs="Times New Roman"/>
          <w:sz w:val="24"/>
          <w:szCs w:val="21"/>
        </w:rPr>
        <w:t xml:space="preserve">odule, </w:t>
      </w:r>
      <w:r w:rsidRPr="004C52D9">
        <w:rPr>
          <w:rFonts w:ascii="Times New Roman" w:eastAsia="宋体" w:hAnsi="Times New Roman" w:cs="Times New Roman"/>
          <w:sz w:val="24"/>
          <w:szCs w:val="21"/>
        </w:rPr>
        <w:t xml:space="preserve">the </w:t>
      </w:r>
      <w:r w:rsidRPr="005C60FF">
        <w:rPr>
          <w:rFonts w:ascii="Times New Roman" w:eastAsia="宋体" w:hAnsi="Times New Roman" w:cs="Times New Roman"/>
          <w:sz w:val="24"/>
          <w:szCs w:val="21"/>
        </w:rPr>
        <w:t xml:space="preserve">Regression </w:t>
      </w:r>
      <w:r w:rsidRPr="004C52D9">
        <w:rPr>
          <w:rFonts w:ascii="Times New Roman" w:eastAsia="宋体" w:hAnsi="Times New Roman" w:cs="Times New Roman"/>
          <w:sz w:val="24"/>
          <w:szCs w:val="21"/>
        </w:rPr>
        <w:t>m</w:t>
      </w:r>
      <w:r w:rsidRPr="005C60FF">
        <w:rPr>
          <w:rFonts w:ascii="Times New Roman" w:eastAsia="宋体" w:hAnsi="Times New Roman" w:cs="Times New Roman"/>
          <w:sz w:val="24"/>
          <w:szCs w:val="21"/>
        </w:rPr>
        <w:t xml:space="preserve">odule, and </w:t>
      </w:r>
      <w:r w:rsidRPr="004C52D9">
        <w:rPr>
          <w:rFonts w:ascii="Times New Roman" w:eastAsia="宋体" w:hAnsi="Times New Roman" w:cs="Times New Roman"/>
          <w:sz w:val="24"/>
          <w:szCs w:val="21"/>
        </w:rPr>
        <w:t xml:space="preserve">the </w:t>
      </w:r>
      <w:r w:rsidRPr="005C60FF">
        <w:rPr>
          <w:rFonts w:ascii="Times New Roman" w:eastAsia="宋体" w:hAnsi="Times New Roman" w:cs="Times New Roman"/>
          <w:sz w:val="24"/>
          <w:szCs w:val="21"/>
        </w:rPr>
        <w:t xml:space="preserve">Evidential </w:t>
      </w:r>
      <w:r w:rsidRPr="004C52D9">
        <w:rPr>
          <w:rFonts w:ascii="Times New Roman" w:eastAsia="宋体" w:hAnsi="Times New Roman" w:cs="Times New Roman"/>
          <w:sz w:val="24"/>
          <w:szCs w:val="21"/>
        </w:rPr>
        <w:t>l</w:t>
      </w:r>
      <w:r w:rsidRPr="005C60FF">
        <w:rPr>
          <w:rFonts w:ascii="Times New Roman" w:eastAsia="宋体" w:hAnsi="Times New Roman" w:cs="Times New Roman"/>
          <w:sz w:val="24"/>
          <w:szCs w:val="21"/>
        </w:rPr>
        <w:t>ayer</w:t>
      </w:r>
      <w:r>
        <w:rPr>
          <w:rFonts w:ascii="Times New Roman" w:eastAsia="宋体" w:hAnsi="Times New Roman" w:cs="Times New Roman"/>
          <w:sz w:val="24"/>
          <w:szCs w:val="21"/>
        </w:rPr>
        <w:t xml:space="preserve"> (Figure 2)</w:t>
      </w:r>
      <w:r w:rsidRPr="005C60FF">
        <w:rPr>
          <w:rFonts w:ascii="Times New Roman" w:eastAsia="宋体" w:hAnsi="Times New Roman" w:cs="Times New Roman"/>
          <w:sz w:val="24"/>
          <w:szCs w:val="21"/>
        </w:rPr>
        <w:t xml:space="preserve">. </w:t>
      </w:r>
      <w:r w:rsidRPr="004C52D9">
        <w:rPr>
          <w:rFonts w:ascii="Times New Roman" w:eastAsia="宋体" w:hAnsi="Times New Roman" w:cs="Times New Roman"/>
          <w:sz w:val="24"/>
          <w:szCs w:val="21"/>
        </w:rPr>
        <w:t xml:space="preserve">In the </w:t>
      </w:r>
      <w:r w:rsidRPr="005C60FF">
        <w:rPr>
          <w:rFonts w:ascii="Times New Roman" w:eastAsia="宋体" w:hAnsi="Times New Roman" w:cs="Times New Roman"/>
          <w:sz w:val="24"/>
          <w:szCs w:val="21"/>
        </w:rPr>
        <w:t>Classification module</w:t>
      </w:r>
      <w:r w:rsidRPr="004C52D9">
        <w:rPr>
          <w:rFonts w:ascii="Times New Roman" w:eastAsia="宋体" w:hAnsi="Times New Roman" w:cs="Times New Roman"/>
          <w:sz w:val="24"/>
          <w:szCs w:val="21"/>
        </w:rPr>
        <w:t>,</w:t>
      </w:r>
      <w:r w:rsidRPr="005C60FF">
        <w:rPr>
          <w:rFonts w:ascii="Times New Roman" w:eastAsia="宋体" w:hAnsi="Times New Roman" w:cs="Times New Roman"/>
          <w:sz w:val="24"/>
          <w:szCs w:val="21"/>
        </w:rPr>
        <w:t xml:space="preserve"> </w:t>
      </w:r>
      <w:r w:rsidRPr="004C52D9">
        <w:rPr>
          <w:rFonts w:ascii="Times New Roman" w:eastAsia="宋体" w:hAnsi="Times New Roman" w:cs="Times New Roman"/>
          <w:sz w:val="24"/>
          <w:szCs w:val="21"/>
        </w:rPr>
        <w:t>molecular fingerprints served as input and underwent feature extraction and classification through two convolutional blocks and one fully-connected (FC) block</w:t>
      </w:r>
      <w:r w:rsidRPr="005C60FF">
        <w:rPr>
          <w:rFonts w:ascii="Times New Roman" w:eastAsia="宋体" w:hAnsi="Times New Roman" w:cs="Times New Roman"/>
          <w:sz w:val="24"/>
          <w:szCs w:val="21"/>
        </w:rPr>
        <w:t xml:space="preserve">. Then, the probability predicted by the classification model was determined by the output of the last </w:t>
      </w:r>
      <w:r w:rsidRPr="004C52D9">
        <w:rPr>
          <w:rFonts w:ascii="Times New Roman" w:eastAsia="宋体" w:hAnsi="Times New Roman" w:cs="Times New Roman"/>
          <w:sz w:val="24"/>
          <w:szCs w:val="21"/>
        </w:rPr>
        <w:t>FC</w:t>
      </w:r>
      <w:r w:rsidRPr="005C60FF">
        <w:rPr>
          <w:rFonts w:ascii="Times New Roman" w:eastAsia="宋体" w:hAnsi="Times New Roman" w:cs="Times New Roman"/>
          <w:sz w:val="24"/>
          <w:szCs w:val="21"/>
        </w:rPr>
        <w:t xml:space="preserve"> layer and activated using the Sigmoid function. Similarly, </w:t>
      </w:r>
      <w:r w:rsidRPr="004C52D9">
        <w:rPr>
          <w:rFonts w:ascii="Times New Roman" w:eastAsia="宋体" w:hAnsi="Times New Roman" w:cs="Times New Roman"/>
          <w:sz w:val="24"/>
          <w:szCs w:val="21"/>
        </w:rPr>
        <w:t xml:space="preserve">in the Regression module, molecular fingerprints were utilized as inputs, and feature extraction and regression were carried out through two convolutional blocks and one FC block. The predicted labels from the Classification module were concatenated with the inputs of the Regression module and fed into its second FC layer. </w:t>
      </w:r>
      <w:r w:rsidRPr="005C60FF">
        <w:rPr>
          <w:rFonts w:ascii="Times New Roman" w:eastAsia="宋体" w:hAnsi="Times New Roman" w:cs="Times New Roman"/>
          <w:sz w:val="24"/>
          <w:szCs w:val="21"/>
        </w:rPr>
        <w:t xml:space="preserve">Other concatenation methods were also </w:t>
      </w:r>
      <w:r w:rsidRPr="004C52D9">
        <w:rPr>
          <w:rFonts w:ascii="Times New Roman" w:eastAsia="宋体" w:hAnsi="Times New Roman" w:cs="Times New Roman"/>
          <w:sz w:val="24"/>
          <w:szCs w:val="21"/>
        </w:rPr>
        <w:t xml:space="preserve">performed and </w:t>
      </w:r>
      <w:r w:rsidRPr="005C60FF">
        <w:rPr>
          <w:rFonts w:ascii="Times New Roman" w:eastAsia="宋体" w:hAnsi="Times New Roman" w:cs="Times New Roman"/>
          <w:sz w:val="24"/>
          <w:szCs w:val="21"/>
        </w:rPr>
        <w:t>evaluated (Figure S</w:t>
      </w:r>
      <w:r>
        <w:rPr>
          <w:rFonts w:ascii="Times New Roman" w:eastAsia="宋体" w:hAnsi="Times New Roman" w:cs="Times New Roman"/>
          <w:sz w:val="24"/>
          <w:szCs w:val="21"/>
        </w:rPr>
        <w:t>2</w:t>
      </w:r>
      <w:r w:rsidRPr="005C60FF">
        <w:rPr>
          <w:rFonts w:ascii="Times New Roman" w:eastAsia="宋体" w:hAnsi="Times New Roman" w:cs="Times New Roman"/>
          <w:sz w:val="24"/>
          <w:szCs w:val="21"/>
        </w:rPr>
        <w:t xml:space="preserve"> </w:t>
      </w:r>
      <w:r w:rsidRPr="004C52D9">
        <w:rPr>
          <w:rFonts w:ascii="Times New Roman" w:eastAsia="宋体" w:hAnsi="Times New Roman" w:cs="Times New Roman"/>
          <w:sz w:val="24"/>
          <w:szCs w:val="21"/>
        </w:rPr>
        <w:t xml:space="preserve">and </w:t>
      </w:r>
      <w:r>
        <w:rPr>
          <w:rFonts w:ascii="Times New Roman" w:eastAsia="宋体" w:hAnsi="Times New Roman" w:cs="Times New Roman"/>
          <w:sz w:val="24"/>
          <w:szCs w:val="21"/>
        </w:rPr>
        <w:t>Table S7</w:t>
      </w:r>
      <w:r w:rsidRPr="005C60FF">
        <w:rPr>
          <w:rFonts w:ascii="Times New Roman" w:eastAsia="宋体" w:hAnsi="Times New Roman" w:cs="Times New Roman"/>
          <w:sz w:val="24"/>
          <w:szCs w:val="21"/>
        </w:rPr>
        <w:t xml:space="preserve">). The final </w:t>
      </w:r>
      <w:r w:rsidRPr="005C60FF">
        <w:rPr>
          <w:rFonts w:ascii="Times New Roman" w:eastAsia="宋体" w:hAnsi="Times New Roman" w:cs="Times New Roman"/>
          <w:sz w:val="24"/>
          <w:szCs w:val="21"/>
        </w:rPr>
        <w:lastRenderedPageBreak/>
        <w:t>layer of the regression model</w:t>
      </w:r>
      <w:r w:rsidRPr="004C52D9">
        <w:rPr>
          <w:rFonts w:ascii="Times New Roman" w:eastAsia="宋体" w:hAnsi="Times New Roman" w:cs="Times New Roman"/>
          <w:sz w:val="24"/>
          <w:szCs w:val="21"/>
        </w:rPr>
        <w:t>, known as the Evidential layer, was derived</w:t>
      </w:r>
      <w:r w:rsidRPr="005C60FF">
        <w:rPr>
          <w:rFonts w:ascii="Times New Roman" w:eastAsia="宋体" w:hAnsi="Times New Roman" w:cs="Times New Roman"/>
          <w:sz w:val="24"/>
          <w:szCs w:val="21"/>
        </w:rPr>
        <w:t xml:space="preserve"> from the Evidential Learning method</w:t>
      </w:r>
      <w:r w:rsidR="00403422">
        <w:rPr>
          <w:rFonts w:ascii="Times New Roman" w:eastAsia="宋体" w:hAnsi="Times New Roman" w:cs="Times New Roman"/>
          <w:sz w:val="24"/>
          <w:szCs w:val="21"/>
        </w:rPr>
        <w:fldChar w:fldCharType="begin"/>
      </w:r>
      <w:r w:rsidR="00403422">
        <w:rPr>
          <w:rFonts w:ascii="Times New Roman" w:eastAsia="宋体" w:hAnsi="Times New Roman" w:cs="Times New Roman"/>
          <w:sz w:val="24"/>
          <w:szCs w:val="21"/>
        </w:rPr>
        <w:instrText xml:space="preserve"> ADDIN ZOTERO_ITEM CSL_CITATION {"citationID":"ERlgV8xI","properties":{"formattedCitation":"\\super 46\\nosupersub{}","plainCitation":"46","noteIndex":0},"citationItems":[{"id":1465,"uris":["http://zotero.org/users/9157699/items/97XLAKGR"],"itemData":{"id":1465,"type":"article","abstract":"Deterministic neural networks (NNs) are increasingly being deployed in safety critical domains, where calibrated, robust, and efﬁcient measures of uncertainty are crucial. In this paper, we propose a novel method for training non-Bayesian NNs to estimate a continuous target as well as its associated evidence in order to learn both aleatoric and epistemic uncertainty. We accomplish this by placing evidential priors over the original Gaussian likelihood function and training the NN to infer the hyperparameters of the evidential distribution. We additionally impose priors during training such that the model is regularized when its predicted evidence is not aligned with the correct output. Our method does not rely on sampling during inference or on out-of-distribution (OOD) examples for training, thus enabling efﬁcient and scalable uncertainty learning. We demonstrate learning well-calibrated measures of uncertainty on various benchmarks, scaling to complex computer vision tasks, as well as robustness to adversarial and OOD test samples.","language":"en","note":"arXiv:1910.02600 [cs, stat]","number":"arXiv:1910.02600","publisher":"arXiv","source":"arXiv.org","title":"Deep Evidential Regression","URL":"http://arxiv.org/abs/1910.02600","author":[{"family":"Amini","given":"Alexander"},{"family":"Schwarting","given":"Wilko"},{"family":"Soleimany","given":"Ava"},{"family":"Rus","given":"Daniela"}],"accessed":{"date-parts":[["2023",1,19]]},"issued":{"date-parts":[["2020",11,24]]}}}],"schema":"https://github.com/citation-style-language/schema/raw/master/csl-citation.json"} </w:instrText>
      </w:r>
      <w:r w:rsidR="00403422">
        <w:rPr>
          <w:rFonts w:ascii="Times New Roman" w:eastAsia="宋体" w:hAnsi="Times New Roman" w:cs="Times New Roman"/>
          <w:sz w:val="24"/>
          <w:szCs w:val="21"/>
        </w:rPr>
        <w:fldChar w:fldCharType="separate"/>
      </w:r>
      <w:r w:rsidR="00403422" w:rsidRPr="00403422">
        <w:rPr>
          <w:rFonts w:ascii="Times New Roman" w:hAnsi="Times New Roman" w:cs="Times New Roman"/>
          <w:kern w:val="0"/>
          <w:sz w:val="24"/>
          <w:szCs w:val="24"/>
          <w:vertAlign w:val="superscript"/>
        </w:rPr>
        <w:t>46</w:t>
      </w:r>
      <w:r w:rsidR="00403422">
        <w:rPr>
          <w:rFonts w:ascii="Times New Roman" w:eastAsia="宋体" w:hAnsi="Times New Roman" w:cs="Times New Roman"/>
          <w:sz w:val="24"/>
          <w:szCs w:val="21"/>
        </w:rPr>
        <w:fldChar w:fldCharType="end"/>
      </w:r>
      <w:r w:rsidRPr="005C60FF">
        <w:rPr>
          <w:rFonts w:ascii="Times New Roman" w:eastAsia="宋体" w:hAnsi="Times New Roman" w:cs="Times New Roman"/>
          <w:sz w:val="24"/>
          <w:szCs w:val="21"/>
        </w:rPr>
        <w:t xml:space="preserve"> </w:t>
      </w:r>
      <w:r w:rsidRPr="004C52D9">
        <w:rPr>
          <w:rFonts w:ascii="Times New Roman" w:eastAsia="宋体" w:hAnsi="Times New Roman" w:cs="Times New Roman"/>
          <w:sz w:val="24"/>
          <w:szCs w:val="21"/>
        </w:rPr>
        <w:t xml:space="preserve">and encompassed four parameters denoted as </w:t>
      </w:r>
      <m:oMath>
        <m:r>
          <w:rPr>
            <w:rFonts w:ascii="Cambria Math" w:eastAsia="宋体" w:hAnsi="Cambria Math" w:cs="Times New Roman"/>
            <w:sz w:val="24"/>
            <w:szCs w:val="21"/>
          </w:rPr>
          <m:t>m</m:t>
        </m:r>
        <m:r>
          <m:rPr>
            <m:sty m:val="p"/>
          </m:rPr>
          <w:rPr>
            <w:rFonts w:ascii="Cambria Math" w:eastAsia="宋体" w:hAnsi="Cambria Math" w:cs="Times New Roman"/>
            <w:sz w:val="24"/>
            <w:szCs w:val="21"/>
          </w:rPr>
          <m:t>={γ,</m:t>
        </m:r>
        <m:r>
          <w:rPr>
            <w:rFonts w:ascii="Cambria Math" w:eastAsia="宋体" w:hAnsi="Cambria Math" w:cs="Times New Roman"/>
            <w:sz w:val="24"/>
            <w:szCs w:val="21"/>
          </w:rPr>
          <m:t>ν</m:t>
        </m:r>
        <m:r>
          <m:rPr>
            <m:sty m:val="p"/>
          </m:rPr>
          <w:rPr>
            <w:rFonts w:ascii="Cambria Math" w:eastAsia="宋体" w:hAnsi="Cambria Math" w:cs="Times New Roman"/>
            <w:sz w:val="24"/>
            <w:szCs w:val="21"/>
          </w:rPr>
          <m:t>, α, β}</m:t>
        </m:r>
      </m:oMath>
      <w:r w:rsidRPr="005C60FF">
        <w:rPr>
          <w:rFonts w:ascii="Times New Roman" w:eastAsia="宋体" w:hAnsi="Times New Roman" w:cs="Times New Roman"/>
          <w:sz w:val="24"/>
          <w:szCs w:val="21"/>
        </w:rPr>
        <w:t xml:space="preserve">. </w:t>
      </w:r>
      <w:r w:rsidRPr="004C52D9">
        <w:rPr>
          <w:rFonts w:ascii="Times New Roman" w:eastAsia="宋体" w:hAnsi="Times New Roman" w:cs="Times New Roman"/>
          <w:sz w:val="24"/>
          <w:szCs w:val="21"/>
        </w:rPr>
        <w:t>The evidence loss can be expressed as:</w:t>
      </w:r>
      <w:r w:rsidRPr="004C52D9" w:rsidDel="000C7A78">
        <w:rPr>
          <w:rFonts w:ascii="Times New Roman" w:eastAsia="宋体" w:hAnsi="Times New Roman" w:cs="Times New Roman"/>
          <w:sz w:val="24"/>
          <w:szCs w:val="21"/>
        </w:rPr>
        <w:t xml:space="preserve"> </w:t>
      </w:r>
    </w:p>
    <w:p w14:paraId="1E50BD57" w14:textId="77777777" w:rsidR="0020202E" w:rsidRPr="005C60FF" w:rsidRDefault="00000000" w:rsidP="0020202E">
      <w:pPr>
        <w:spacing w:beforeLines="50" w:before="156" w:afterLines="50" w:after="156" w:line="276" w:lineRule="auto"/>
        <w:ind w:firstLineChars="100" w:firstLine="240"/>
        <w:jc w:val="center"/>
        <w:rPr>
          <w:rFonts w:ascii="Times New Roman" w:eastAsia="宋体" w:hAnsi="Times New Roman" w:cs="Times New Roman"/>
          <w:sz w:val="24"/>
          <w:szCs w:val="21"/>
        </w:rPr>
      </w:pPr>
      <m:oMathPara>
        <m:oMath>
          <m:eqArr>
            <m:eqArrPr>
              <m:maxDist m:val="1"/>
              <m:ctrlPr>
                <w:rPr>
                  <w:rFonts w:ascii="Cambria Math" w:eastAsia="宋体" w:hAnsi="Cambria Math" w:cs="Times New Roman"/>
                  <w:i/>
                  <w:sz w:val="24"/>
                  <w:szCs w:val="21"/>
                </w:rPr>
              </m:ctrlPr>
            </m:eqArrPr>
            <m:e>
              <m:r>
                <w:rPr>
                  <w:rFonts w:ascii="Cambria Math" w:eastAsia="宋体" w:hAnsi="Cambria Math" w:cs="Times New Roman"/>
                  <w:sz w:val="24"/>
                  <w:szCs w:val="21"/>
                </w:rPr>
                <m:t>L</m:t>
              </m:r>
              <m:d>
                <m:dPr>
                  <m:ctrlPr>
                    <w:rPr>
                      <w:rFonts w:ascii="Cambria Math" w:eastAsia="宋体" w:hAnsi="Cambria Math" w:cs="Times New Roman"/>
                      <w:i/>
                      <w:sz w:val="24"/>
                      <w:szCs w:val="21"/>
                    </w:rPr>
                  </m:ctrlPr>
                </m:dPr>
                <m:e>
                  <m:r>
                    <w:rPr>
                      <w:rFonts w:ascii="Cambria Math" w:eastAsia="宋体" w:hAnsi="Cambria Math" w:cs="Times New Roman"/>
                      <w:sz w:val="24"/>
                      <w:szCs w:val="21"/>
                    </w:rPr>
                    <m:t>ω</m:t>
                  </m:r>
                </m:e>
              </m:d>
              <m:r>
                <w:rPr>
                  <w:rFonts w:ascii="Cambria Math" w:eastAsia="宋体" w:hAnsi="Cambria Math" w:cs="Times New Roman"/>
                  <w:sz w:val="24"/>
                  <w:szCs w:val="21"/>
                </w:rPr>
                <m:t>=</m:t>
              </m:r>
              <m:sSubSup>
                <m:sSubSupPr>
                  <m:ctrlPr>
                    <w:rPr>
                      <w:rFonts w:ascii="Cambria Math" w:eastAsia="宋体" w:hAnsi="Cambria Math" w:cs="Times New Roman"/>
                      <w:i/>
                      <w:sz w:val="24"/>
                      <w:szCs w:val="21"/>
                    </w:rPr>
                  </m:ctrlPr>
                </m:sSubSupPr>
                <m:e>
                  <m:r>
                    <w:rPr>
                      <w:rFonts w:ascii="Cambria Math" w:eastAsia="宋体" w:hAnsi="Cambria Math" w:cs="Times New Roman"/>
                      <w:sz w:val="24"/>
                      <w:szCs w:val="21"/>
                    </w:rPr>
                    <m:t>L</m:t>
                  </m:r>
                </m:e>
                <m:sub>
                  <m:r>
                    <w:rPr>
                      <w:rFonts w:ascii="Cambria Math" w:eastAsia="宋体" w:hAnsi="Cambria Math" w:cs="Times New Roman"/>
                      <w:sz w:val="24"/>
                      <w:szCs w:val="21"/>
                    </w:rPr>
                    <m:t>NLL</m:t>
                  </m:r>
                </m:sub>
                <m:sup>
                  <m:r>
                    <w:rPr>
                      <w:rFonts w:ascii="Cambria Math" w:eastAsia="宋体" w:hAnsi="Cambria Math" w:cs="Times New Roman"/>
                      <w:sz w:val="24"/>
                      <w:szCs w:val="21"/>
                    </w:rPr>
                    <m:t xml:space="preserve"> </m:t>
                  </m:r>
                </m:sup>
              </m:sSubSup>
              <m:d>
                <m:dPr>
                  <m:ctrlPr>
                    <w:rPr>
                      <w:rFonts w:ascii="Cambria Math" w:eastAsia="宋体" w:hAnsi="Cambria Math" w:cs="Times New Roman"/>
                      <w:i/>
                      <w:sz w:val="24"/>
                      <w:szCs w:val="21"/>
                    </w:rPr>
                  </m:ctrlPr>
                </m:dPr>
                <m:e>
                  <m:r>
                    <w:rPr>
                      <w:rFonts w:ascii="Cambria Math" w:eastAsia="宋体" w:hAnsi="Cambria Math" w:cs="Times New Roman"/>
                      <w:sz w:val="24"/>
                      <w:szCs w:val="21"/>
                    </w:rPr>
                    <m:t>ω</m:t>
                  </m:r>
                </m:e>
              </m:d>
              <m:r>
                <w:rPr>
                  <w:rFonts w:ascii="Cambria Math" w:eastAsia="宋体" w:hAnsi="Cambria Math" w:cs="Times New Roman"/>
                  <w:sz w:val="24"/>
                  <w:szCs w:val="21"/>
                </w:rPr>
                <m:t>+λ</m:t>
              </m:r>
              <m:sSubSup>
                <m:sSubSupPr>
                  <m:ctrlPr>
                    <w:rPr>
                      <w:rFonts w:ascii="Cambria Math" w:eastAsia="宋体" w:hAnsi="Cambria Math" w:cs="Times New Roman"/>
                      <w:i/>
                      <w:sz w:val="24"/>
                      <w:szCs w:val="21"/>
                    </w:rPr>
                  </m:ctrlPr>
                </m:sSubSupPr>
                <m:e>
                  <m:r>
                    <w:rPr>
                      <w:rFonts w:ascii="Cambria Math" w:eastAsia="宋体" w:hAnsi="Cambria Math" w:cs="Times New Roman"/>
                      <w:sz w:val="24"/>
                      <w:szCs w:val="21"/>
                    </w:rPr>
                    <m:t>L</m:t>
                  </m:r>
                </m:e>
                <m:sub>
                  <m:r>
                    <w:rPr>
                      <w:rFonts w:ascii="Cambria Math" w:eastAsia="宋体" w:hAnsi="Cambria Math" w:cs="Times New Roman"/>
                      <w:sz w:val="24"/>
                      <w:szCs w:val="21"/>
                    </w:rPr>
                    <m:t>EVI</m:t>
                  </m:r>
                </m:sub>
                <m:sup>
                  <m:r>
                    <w:rPr>
                      <w:rFonts w:ascii="Cambria Math" w:eastAsia="宋体" w:hAnsi="Cambria Math" w:cs="Times New Roman"/>
                      <w:sz w:val="24"/>
                      <w:szCs w:val="21"/>
                    </w:rPr>
                    <m:t xml:space="preserve"> </m:t>
                  </m:r>
                </m:sup>
              </m:sSubSup>
              <m:d>
                <m:dPr>
                  <m:ctrlPr>
                    <w:rPr>
                      <w:rFonts w:ascii="Cambria Math" w:eastAsia="宋体" w:hAnsi="Cambria Math" w:cs="Times New Roman"/>
                      <w:i/>
                      <w:sz w:val="24"/>
                      <w:szCs w:val="21"/>
                    </w:rPr>
                  </m:ctrlPr>
                </m:dPr>
                <m:e>
                  <m:r>
                    <w:rPr>
                      <w:rFonts w:ascii="Cambria Math" w:eastAsia="宋体" w:hAnsi="Cambria Math" w:cs="Times New Roman"/>
                      <w:sz w:val="24"/>
                      <w:szCs w:val="21"/>
                    </w:rPr>
                    <m:t>ω</m:t>
                  </m:r>
                </m:e>
              </m:d>
            </m:e>
          </m:eqArr>
        </m:oMath>
      </m:oMathPara>
    </w:p>
    <w:p w14:paraId="1A7C657C" w14:textId="77777777" w:rsidR="0020202E" w:rsidRPr="005C60FF" w:rsidRDefault="0020202E" w:rsidP="0020202E">
      <w:pPr>
        <w:spacing w:beforeLines="50" w:before="156" w:afterLines="50" w:after="156" w:line="276" w:lineRule="auto"/>
        <w:ind w:firstLineChars="100" w:firstLine="240"/>
        <w:rPr>
          <w:rFonts w:ascii="Times New Roman" w:eastAsia="宋体" w:hAnsi="Times New Roman" w:cs="Times New Roman"/>
          <w:sz w:val="24"/>
          <w:szCs w:val="21"/>
        </w:rPr>
      </w:pPr>
      <w:r w:rsidRPr="005C60FF">
        <w:rPr>
          <w:rFonts w:ascii="Times New Roman" w:eastAsia="宋体" w:hAnsi="Times New Roman" w:cs="Times New Roman"/>
          <w:sz w:val="24"/>
          <w:szCs w:val="21"/>
        </w:rPr>
        <w:t xml:space="preserve">Here, </w:t>
      </w:r>
      <m:oMath>
        <m:r>
          <w:rPr>
            <w:rFonts w:ascii="Cambria Math" w:eastAsia="宋体" w:hAnsi="Cambria Math" w:cs="Times New Roman"/>
            <w:sz w:val="24"/>
            <w:szCs w:val="21"/>
          </w:rPr>
          <m:t>ω</m:t>
        </m:r>
      </m:oMath>
      <w:r w:rsidRPr="004C52D9">
        <w:rPr>
          <w:rFonts w:ascii="Times New Roman" w:eastAsia="宋体" w:hAnsi="Times New Roman" w:cs="Times New Roman"/>
          <w:sz w:val="24"/>
          <w:szCs w:val="21"/>
        </w:rPr>
        <w:t xml:space="preserve"> represents a set of weights. T</w:t>
      </w:r>
      <w:r w:rsidRPr="005C60FF">
        <w:rPr>
          <w:rFonts w:ascii="Times New Roman" w:eastAsia="宋体" w:hAnsi="Times New Roman" w:cs="Times New Roman"/>
          <w:sz w:val="24"/>
          <w:szCs w:val="21"/>
        </w:rPr>
        <w:t xml:space="preserve">he log-likelihood term </w:t>
      </w:r>
      <m:oMath>
        <m:sSubSup>
          <m:sSubSupPr>
            <m:ctrlPr>
              <w:rPr>
                <w:rFonts w:ascii="Cambria Math" w:eastAsia="宋体" w:hAnsi="Cambria Math" w:cs="Times New Roman"/>
                <w:i/>
                <w:sz w:val="24"/>
                <w:szCs w:val="21"/>
              </w:rPr>
            </m:ctrlPr>
          </m:sSubSupPr>
          <m:e>
            <m:r>
              <w:rPr>
                <w:rFonts w:ascii="Cambria Math" w:eastAsia="宋体" w:hAnsi="Cambria Math" w:cs="Times New Roman"/>
                <w:sz w:val="24"/>
                <w:szCs w:val="21"/>
              </w:rPr>
              <m:t>L</m:t>
            </m:r>
          </m:e>
          <m:sub>
            <m:r>
              <w:rPr>
                <w:rFonts w:ascii="Cambria Math" w:eastAsia="宋体" w:hAnsi="Cambria Math" w:cs="Times New Roman"/>
                <w:sz w:val="24"/>
                <w:szCs w:val="21"/>
              </w:rPr>
              <m:t>NLL</m:t>
            </m:r>
          </m:sub>
          <m:sup>
            <m:r>
              <w:rPr>
                <w:rFonts w:ascii="Cambria Math" w:eastAsia="宋体" w:hAnsi="Cambria Math" w:cs="Times New Roman"/>
                <w:sz w:val="24"/>
                <w:szCs w:val="21"/>
              </w:rPr>
              <m:t xml:space="preserve"> </m:t>
            </m:r>
          </m:sup>
        </m:sSubSup>
      </m:oMath>
      <w:r w:rsidRPr="005C60FF">
        <w:rPr>
          <w:rFonts w:ascii="Times New Roman" w:eastAsia="宋体" w:hAnsi="Times New Roman" w:cs="Times New Roman"/>
          <w:sz w:val="24"/>
          <w:szCs w:val="21"/>
        </w:rPr>
        <w:t xml:space="preserve"> is utilized to measure model fit, while </w:t>
      </w:r>
      <m:oMath>
        <m:r>
          <w:rPr>
            <w:rFonts w:ascii="Cambria Math" w:eastAsia="宋体" w:hAnsi="Cambria Math" w:cs="Times New Roman"/>
            <w:sz w:val="24"/>
            <w:szCs w:val="21"/>
          </w:rPr>
          <m:t>λ</m:t>
        </m:r>
      </m:oMath>
      <w:r w:rsidRPr="005C60FF">
        <w:rPr>
          <w:rFonts w:ascii="Times New Roman" w:eastAsia="宋体" w:hAnsi="Times New Roman" w:cs="Times New Roman"/>
          <w:sz w:val="24"/>
          <w:szCs w:val="21"/>
        </w:rPr>
        <w:t xml:space="preserve"> controls the penalty strength of overconfident predictions by the regularization term </w:t>
      </w:r>
      <m:oMath>
        <m:sSubSup>
          <m:sSubSupPr>
            <m:ctrlPr>
              <w:rPr>
                <w:rFonts w:ascii="Cambria Math" w:eastAsia="宋体" w:hAnsi="Cambria Math" w:cs="Times New Roman"/>
                <w:i/>
                <w:sz w:val="24"/>
                <w:szCs w:val="21"/>
              </w:rPr>
            </m:ctrlPr>
          </m:sSubSupPr>
          <m:e>
            <m:r>
              <w:rPr>
                <w:rFonts w:ascii="Cambria Math" w:eastAsia="宋体" w:hAnsi="Cambria Math" w:cs="Times New Roman"/>
                <w:sz w:val="24"/>
                <w:szCs w:val="21"/>
              </w:rPr>
              <m:t>L</m:t>
            </m:r>
          </m:e>
          <m:sub>
            <m:r>
              <w:rPr>
                <w:rFonts w:ascii="Cambria Math" w:eastAsia="宋体" w:hAnsi="Cambria Math" w:cs="Times New Roman"/>
                <w:sz w:val="24"/>
                <w:szCs w:val="21"/>
              </w:rPr>
              <m:t>EVI</m:t>
            </m:r>
          </m:sub>
          <m:sup>
            <m:r>
              <w:rPr>
                <w:rFonts w:ascii="Cambria Math" w:eastAsia="宋体" w:hAnsi="Cambria Math" w:cs="Times New Roman"/>
                <w:sz w:val="24"/>
                <w:szCs w:val="21"/>
              </w:rPr>
              <m:t xml:space="preserve"> </m:t>
            </m:r>
          </m:sup>
        </m:sSubSup>
      </m:oMath>
      <w:r w:rsidRPr="005C60FF">
        <w:rPr>
          <w:rFonts w:ascii="Times New Roman" w:eastAsia="宋体" w:hAnsi="Times New Roman" w:cs="Times New Roman"/>
          <w:sz w:val="24"/>
          <w:szCs w:val="21"/>
        </w:rPr>
        <w:t>.</w:t>
      </w:r>
    </w:p>
    <w:p w14:paraId="314E0656" w14:textId="77777777" w:rsidR="0020202E" w:rsidRPr="005C60FF" w:rsidRDefault="0020202E" w:rsidP="0020202E">
      <w:pPr>
        <w:spacing w:beforeLines="50" w:before="156" w:afterLines="50" w:after="156" w:line="276" w:lineRule="auto"/>
        <w:ind w:firstLineChars="100" w:firstLine="240"/>
        <w:rPr>
          <w:rFonts w:ascii="Times New Roman" w:eastAsia="宋体" w:hAnsi="Times New Roman" w:cs="Times New Roman"/>
          <w:sz w:val="24"/>
          <w:szCs w:val="21"/>
        </w:rPr>
      </w:pPr>
      <w:r w:rsidRPr="005C60FF">
        <w:rPr>
          <w:rFonts w:ascii="Times New Roman" w:eastAsia="宋体" w:hAnsi="Times New Roman" w:cs="Times New Roman"/>
          <w:sz w:val="24"/>
          <w:szCs w:val="21"/>
        </w:rPr>
        <w:t xml:space="preserve">The prediction value, aleatoric, and epistemic uncertainty could be calculated using parameters </w:t>
      </w:r>
      <m:oMath>
        <m:r>
          <w:rPr>
            <w:rFonts w:ascii="Cambria Math" w:eastAsia="宋体" w:hAnsi="Cambria Math" w:cs="Times New Roman"/>
            <w:sz w:val="24"/>
            <w:szCs w:val="21"/>
          </w:rPr>
          <m:t>m</m:t>
        </m:r>
      </m:oMath>
      <w:r w:rsidRPr="004C52D9" w:rsidDel="000C7A78">
        <w:rPr>
          <w:rFonts w:ascii="Times New Roman" w:eastAsia="宋体" w:hAnsi="Times New Roman" w:cs="Times New Roman"/>
          <w:sz w:val="24"/>
          <w:szCs w:val="21"/>
        </w:rPr>
        <w:t xml:space="preserve"> </w:t>
      </w:r>
      <w:r w:rsidRPr="005C60FF">
        <w:rPr>
          <w:rFonts w:ascii="Times New Roman" w:eastAsia="宋体" w:hAnsi="Times New Roman" w:cs="Times New Roman"/>
          <w:sz w:val="24"/>
          <w:szCs w:val="21"/>
        </w:rPr>
        <w:t>as</w:t>
      </w:r>
      <w:r w:rsidRPr="004C52D9">
        <w:rPr>
          <w:rFonts w:ascii="Times New Roman" w:eastAsia="宋体" w:hAnsi="Times New Roman" w:cs="Times New Roman"/>
          <w:sz w:val="24"/>
          <w:szCs w:val="21"/>
        </w:rPr>
        <w:t xml:space="preserve"> follow</w:t>
      </w:r>
      <w:r w:rsidRPr="005C60FF">
        <w:rPr>
          <w:rFonts w:ascii="Times New Roman" w:eastAsia="宋体" w:hAnsi="Times New Roman" w:cs="Times New Roman"/>
          <w:sz w:val="24"/>
          <w:szCs w:val="21"/>
        </w:rPr>
        <w:t>:</w:t>
      </w:r>
    </w:p>
    <w:p w14:paraId="1955E53D" w14:textId="77777777" w:rsidR="0020202E" w:rsidRPr="005C60FF" w:rsidRDefault="0020202E" w:rsidP="0020202E">
      <w:pPr>
        <w:spacing w:beforeLines="50" w:before="156" w:afterLines="50" w:after="156" w:line="276" w:lineRule="auto"/>
        <w:ind w:firstLineChars="100" w:firstLine="240"/>
        <w:jc w:val="center"/>
        <w:rPr>
          <w:rFonts w:ascii="Times New Roman" w:eastAsia="宋体" w:hAnsi="Times New Roman" w:cs="Times New Roman"/>
          <w:sz w:val="24"/>
          <w:szCs w:val="21"/>
        </w:rPr>
      </w:pPr>
      <m:oMath>
        <m:r>
          <w:rPr>
            <w:rFonts w:ascii="Cambria Math" w:eastAsia="宋体" w:hAnsi="Cambria Math" w:cs="Times New Roman"/>
            <w:sz w:val="24"/>
            <w:szCs w:val="21"/>
          </w:rPr>
          <m:t>E</m:t>
        </m:r>
        <m:d>
          <m:dPr>
            <m:begChr m:val="["/>
            <m:endChr m:val="]"/>
            <m:ctrlPr>
              <w:rPr>
                <w:rFonts w:ascii="Cambria Math" w:eastAsia="宋体" w:hAnsi="Cambria Math" w:cs="Times New Roman"/>
                <w:i/>
                <w:sz w:val="24"/>
                <w:szCs w:val="21"/>
              </w:rPr>
            </m:ctrlPr>
          </m:dPr>
          <m:e>
            <m:r>
              <w:rPr>
                <w:rFonts w:ascii="Cambria Math" w:eastAsia="宋体" w:hAnsi="Cambria Math" w:cs="Times New Roman"/>
                <w:sz w:val="24"/>
                <w:szCs w:val="21"/>
              </w:rPr>
              <m:t>μ</m:t>
            </m:r>
          </m:e>
        </m:d>
        <m:r>
          <w:rPr>
            <w:rFonts w:ascii="Cambria Math" w:eastAsia="宋体" w:hAnsi="Cambria Math" w:cs="Times New Roman"/>
            <w:sz w:val="24"/>
            <w:szCs w:val="21"/>
          </w:rPr>
          <m:t>=γ</m:t>
        </m:r>
      </m:oMath>
      <w:r w:rsidRPr="005C60FF">
        <w:rPr>
          <w:rFonts w:ascii="Times New Roman" w:eastAsia="宋体" w:hAnsi="Times New Roman" w:cs="Times New Roman"/>
          <w:sz w:val="24"/>
          <w:szCs w:val="21"/>
        </w:rPr>
        <w:t xml:space="preserve">, </w:t>
      </w:r>
      <m:oMath>
        <m:r>
          <w:rPr>
            <w:rFonts w:ascii="Cambria Math" w:eastAsia="宋体" w:hAnsi="Cambria Math" w:cs="Times New Roman"/>
            <w:sz w:val="24"/>
            <w:szCs w:val="21"/>
          </w:rPr>
          <m:t>E</m:t>
        </m:r>
        <m:d>
          <m:dPr>
            <m:begChr m:val="["/>
            <m:endChr m:val="]"/>
            <m:ctrlPr>
              <w:rPr>
                <w:rFonts w:ascii="Cambria Math" w:eastAsia="宋体" w:hAnsi="Cambria Math" w:cs="Times New Roman"/>
                <w:i/>
                <w:sz w:val="24"/>
                <w:szCs w:val="21"/>
              </w:rPr>
            </m:ctrlPr>
          </m:dPr>
          <m:e>
            <m:sSup>
              <m:sSupPr>
                <m:ctrlPr>
                  <w:rPr>
                    <w:rFonts w:ascii="Cambria Math" w:eastAsia="宋体" w:hAnsi="Cambria Math" w:cs="Times New Roman"/>
                    <w:i/>
                    <w:sz w:val="24"/>
                    <w:szCs w:val="21"/>
                  </w:rPr>
                </m:ctrlPr>
              </m:sSupPr>
              <m:e>
                <m:r>
                  <w:rPr>
                    <w:rFonts w:ascii="Cambria Math" w:eastAsia="宋体" w:hAnsi="Cambria Math" w:cs="Times New Roman"/>
                    <w:sz w:val="24"/>
                    <w:szCs w:val="21"/>
                  </w:rPr>
                  <m:t>σ</m:t>
                </m:r>
              </m:e>
              <m:sup>
                <m:r>
                  <w:rPr>
                    <w:rFonts w:ascii="Cambria Math" w:eastAsia="宋体" w:hAnsi="Cambria Math" w:cs="Times New Roman"/>
                    <w:sz w:val="24"/>
                    <w:szCs w:val="21"/>
                  </w:rPr>
                  <m:t>2</m:t>
                </m:r>
              </m:sup>
            </m:sSup>
          </m:e>
        </m:d>
        <m:r>
          <w:rPr>
            <w:rFonts w:ascii="Cambria Math" w:eastAsia="宋体" w:hAnsi="Cambria Math" w:cs="Times New Roman"/>
            <w:sz w:val="24"/>
            <w:szCs w:val="21"/>
          </w:rPr>
          <m:t>=</m:t>
        </m:r>
        <m:f>
          <m:fPr>
            <m:type m:val="lin"/>
            <m:ctrlPr>
              <w:rPr>
                <w:rFonts w:ascii="Cambria Math" w:eastAsia="宋体" w:hAnsi="Cambria Math" w:cs="Times New Roman"/>
                <w:i/>
                <w:sz w:val="24"/>
                <w:szCs w:val="21"/>
              </w:rPr>
            </m:ctrlPr>
          </m:fPr>
          <m:num>
            <m:r>
              <w:rPr>
                <w:rFonts w:ascii="Cambria Math" w:eastAsia="宋体" w:hAnsi="Cambria Math" w:cs="Times New Roman"/>
                <w:sz w:val="24"/>
                <w:szCs w:val="21"/>
              </w:rPr>
              <m:t>β</m:t>
            </m:r>
          </m:num>
          <m:den>
            <m:d>
              <m:dPr>
                <m:ctrlPr>
                  <w:rPr>
                    <w:rFonts w:ascii="Cambria Math" w:eastAsia="宋体" w:hAnsi="Cambria Math" w:cs="Times New Roman"/>
                    <w:i/>
                    <w:sz w:val="24"/>
                    <w:szCs w:val="21"/>
                  </w:rPr>
                </m:ctrlPr>
              </m:dPr>
              <m:e>
                <m:r>
                  <w:rPr>
                    <w:rFonts w:ascii="Cambria Math" w:eastAsia="宋体" w:hAnsi="Cambria Math" w:cs="Times New Roman"/>
                    <w:sz w:val="24"/>
                    <w:szCs w:val="21"/>
                  </w:rPr>
                  <m:t>α-1</m:t>
                </m:r>
              </m:e>
            </m:d>
          </m:den>
        </m:f>
      </m:oMath>
      <w:r w:rsidRPr="005C60FF">
        <w:rPr>
          <w:rFonts w:ascii="Times New Roman" w:eastAsia="宋体" w:hAnsi="Times New Roman" w:cs="Times New Roman"/>
          <w:sz w:val="24"/>
          <w:szCs w:val="21"/>
        </w:rPr>
        <w:t xml:space="preserve">, </w:t>
      </w:r>
      <m:oMath>
        <m:func>
          <m:funcPr>
            <m:ctrlPr>
              <w:rPr>
                <w:rFonts w:ascii="Cambria Math" w:eastAsia="宋体" w:hAnsi="Cambria Math" w:cs="Times New Roman"/>
                <w:i/>
                <w:sz w:val="24"/>
                <w:szCs w:val="21"/>
              </w:rPr>
            </m:ctrlPr>
          </m:funcPr>
          <m:fName>
            <m:r>
              <m:rPr>
                <m:sty m:val="p"/>
              </m:rPr>
              <w:rPr>
                <w:rFonts w:ascii="Cambria Math" w:eastAsia="宋体" w:hAnsi="Cambria Math" w:cs="Times New Roman"/>
                <w:sz w:val="24"/>
                <w:szCs w:val="21"/>
              </w:rPr>
              <m:t>Var</m:t>
            </m:r>
          </m:fName>
          <m:e>
            <m:d>
              <m:dPr>
                <m:begChr m:val="["/>
                <m:endChr m:val="]"/>
                <m:ctrlPr>
                  <w:rPr>
                    <w:rFonts w:ascii="Cambria Math" w:eastAsia="宋体" w:hAnsi="Cambria Math" w:cs="Times New Roman"/>
                    <w:i/>
                    <w:sz w:val="24"/>
                    <w:szCs w:val="21"/>
                  </w:rPr>
                </m:ctrlPr>
              </m:dPr>
              <m:e>
                <m:r>
                  <w:rPr>
                    <w:rFonts w:ascii="Cambria Math" w:eastAsia="宋体" w:hAnsi="Cambria Math" w:cs="Times New Roman"/>
                    <w:sz w:val="24"/>
                    <w:szCs w:val="21"/>
                  </w:rPr>
                  <m:t>μ</m:t>
                </m:r>
              </m:e>
            </m:d>
          </m:e>
        </m:func>
        <m:r>
          <w:rPr>
            <w:rFonts w:ascii="Cambria Math" w:eastAsia="宋体" w:hAnsi="Cambria Math" w:cs="Times New Roman"/>
            <w:sz w:val="24"/>
            <w:szCs w:val="21"/>
          </w:rPr>
          <m:t>=</m:t>
        </m:r>
        <m:f>
          <m:fPr>
            <m:type m:val="lin"/>
            <m:ctrlPr>
              <w:rPr>
                <w:rFonts w:ascii="Cambria Math" w:eastAsia="宋体" w:hAnsi="Cambria Math" w:cs="Times New Roman"/>
                <w:i/>
                <w:sz w:val="24"/>
                <w:szCs w:val="21"/>
              </w:rPr>
            </m:ctrlPr>
          </m:fPr>
          <m:num>
            <m:r>
              <w:rPr>
                <w:rFonts w:ascii="Cambria Math" w:eastAsia="宋体" w:hAnsi="Cambria Math" w:cs="Times New Roman"/>
                <w:sz w:val="24"/>
                <w:szCs w:val="21"/>
              </w:rPr>
              <m:t>β</m:t>
            </m:r>
          </m:num>
          <m:den>
            <m:r>
              <w:rPr>
                <w:rFonts w:ascii="Cambria Math" w:eastAsia="宋体" w:hAnsi="Cambria Math" w:cs="Times New Roman"/>
                <w:sz w:val="24"/>
                <w:szCs w:val="21"/>
              </w:rPr>
              <m:t>ν</m:t>
            </m:r>
            <m:d>
              <m:dPr>
                <m:ctrlPr>
                  <w:rPr>
                    <w:rFonts w:ascii="Cambria Math" w:eastAsia="宋体" w:hAnsi="Cambria Math" w:cs="Times New Roman"/>
                    <w:i/>
                    <w:sz w:val="24"/>
                    <w:szCs w:val="21"/>
                  </w:rPr>
                </m:ctrlPr>
              </m:dPr>
              <m:e>
                <m:r>
                  <w:rPr>
                    <w:rFonts w:ascii="Cambria Math" w:eastAsia="宋体" w:hAnsi="Cambria Math" w:cs="Times New Roman"/>
                    <w:sz w:val="24"/>
                    <w:szCs w:val="21"/>
                  </w:rPr>
                  <m:t>α-1</m:t>
                </m:r>
              </m:e>
            </m:d>
          </m:den>
        </m:f>
      </m:oMath>
    </w:p>
    <w:p w14:paraId="0F482064" w14:textId="77777777" w:rsidR="0020202E" w:rsidRPr="007829B5" w:rsidRDefault="0020202E" w:rsidP="007829B5">
      <w:pPr>
        <w:pStyle w:val="3"/>
        <w:rPr>
          <w:rFonts w:ascii="Times New Roman" w:eastAsia="宋体" w:hAnsi="Times New Roman" w:cs="Times New Roman"/>
          <w:b w:val="0"/>
          <w:bCs w:val="0"/>
          <w:sz w:val="28"/>
          <w:szCs w:val="21"/>
        </w:rPr>
      </w:pPr>
      <w:r w:rsidRPr="007829B5">
        <w:rPr>
          <w:rFonts w:ascii="Times New Roman" w:eastAsia="宋体" w:hAnsi="Times New Roman" w:cs="Times New Roman"/>
          <w:b w:val="0"/>
          <w:bCs w:val="0"/>
          <w:sz w:val="28"/>
          <w:szCs w:val="21"/>
        </w:rPr>
        <w:t>2.2.3 Model Optimization</w:t>
      </w:r>
    </w:p>
    <w:p w14:paraId="5D0F5DE4" w14:textId="7CC92F53" w:rsidR="0020202E" w:rsidRPr="004C52D9" w:rsidRDefault="0020202E" w:rsidP="0020202E">
      <w:pPr>
        <w:spacing w:beforeLines="50" w:before="156" w:afterLines="50" w:after="156" w:line="276" w:lineRule="auto"/>
        <w:ind w:firstLineChars="100" w:firstLine="240"/>
        <w:rPr>
          <w:rFonts w:ascii="Times New Roman" w:eastAsia="宋体" w:hAnsi="Times New Roman" w:cs="Times New Roman"/>
          <w:szCs w:val="21"/>
        </w:rPr>
      </w:pPr>
      <w:r w:rsidRPr="005C60FF">
        <w:rPr>
          <w:rFonts w:ascii="Times New Roman" w:eastAsia="宋体" w:hAnsi="Times New Roman" w:cs="Times New Roman"/>
          <w:sz w:val="24"/>
          <w:szCs w:val="21"/>
        </w:rPr>
        <w:t>For model training and evaluation, the regression dataset was divided into training, validation, and testing sets</w:t>
      </w:r>
      <w:r w:rsidRPr="005C60FF">
        <w:rPr>
          <w:rFonts w:ascii="Times New Roman" w:hAnsi="Times New Roman" w:cs="Times New Roman"/>
          <w:sz w:val="24"/>
        </w:rPr>
        <w:t xml:space="preserve"> using random sampling </w:t>
      </w:r>
      <w:r w:rsidRPr="005C60FF">
        <w:rPr>
          <w:rFonts w:ascii="Times New Roman" w:eastAsia="宋体" w:hAnsi="Times New Roman" w:cs="Times New Roman"/>
          <w:sz w:val="24"/>
          <w:szCs w:val="21"/>
        </w:rPr>
        <w:t xml:space="preserve">to maintain a consistent distribution of data (Table 1). We emphasized that the regression test data with 880 compounds were kept separate and not included in either the classification or regression training/validation sets, serving as an independent test set. </w:t>
      </w:r>
      <w:r w:rsidR="00C7625C">
        <w:rPr>
          <w:rFonts w:ascii="Times New Roman" w:eastAsia="宋体" w:hAnsi="Times New Roman" w:cs="Times New Roman"/>
          <w:sz w:val="24"/>
          <w:szCs w:val="21"/>
        </w:rPr>
        <w:t>It</w:t>
      </w:r>
      <w:r w:rsidR="00C7625C" w:rsidRPr="005C60FF">
        <w:rPr>
          <w:rFonts w:ascii="Times New Roman" w:eastAsia="宋体" w:hAnsi="Times New Roman" w:cs="Times New Roman"/>
          <w:sz w:val="24"/>
          <w:szCs w:val="21"/>
        </w:rPr>
        <w:t xml:space="preserve"> </w:t>
      </w:r>
      <w:r w:rsidRPr="005C60FF">
        <w:rPr>
          <w:rFonts w:ascii="Times New Roman" w:eastAsia="宋体" w:hAnsi="Times New Roman" w:cs="Times New Roman"/>
          <w:sz w:val="24"/>
          <w:szCs w:val="21"/>
        </w:rPr>
        <w:t>allowed for an unbiased evaluation of the regression model, classification-combined regression model, and regression model with uncertainty estimation. Hyperparameters were optimized using grid search, and the final settings were bolded in Table 2.</w:t>
      </w:r>
    </w:p>
    <w:p w14:paraId="3191CB32" w14:textId="77777777" w:rsidR="0020202E" w:rsidRPr="004C52D9" w:rsidRDefault="0020202E" w:rsidP="0020202E">
      <w:pPr>
        <w:spacing w:line="276" w:lineRule="auto"/>
        <w:jc w:val="center"/>
        <w:rPr>
          <w:rFonts w:ascii="Times New Roman" w:eastAsia="宋体" w:hAnsi="Times New Roman" w:cs="Times New Roman"/>
          <w:szCs w:val="21"/>
        </w:rPr>
      </w:pPr>
      <w:r w:rsidRPr="005C60FF">
        <w:rPr>
          <w:rFonts w:ascii="Times New Roman" w:eastAsia="宋体" w:hAnsi="Times New Roman" w:cs="Times New Roman"/>
          <w:bCs/>
          <w:szCs w:val="21"/>
        </w:rPr>
        <w:t xml:space="preserve">Table 1. </w:t>
      </w:r>
      <w:r w:rsidRPr="004C52D9">
        <w:rPr>
          <w:rFonts w:ascii="Times New Roman" w:eastAsia="宋体" w:hAnsi="Times New Roman" w:cs="Times New Roman"/>
          <w:szCs w:val="21"/>
        </w:rPr>
        <w:t>Data splitting for model development and evaluation</w:t>
      </w:r>
      <w:r>
        <w:rPr>
          <w:rFonts w:ascii="Times New Roman" w:eastAsia="宋体" w:hAnsi="Times New Roman" w:cs="Times New Roman"/>
          <w:szCs w:val="21"/>
        </w:rPr>
        <w:t>.</w:t>
      </w:r>
    </w:p>
    <w:tbl>
      <w:tblPr>
        <w:tblW w:w="8505" w:type="dxa"/>
        <w:jc w:val="center"/>
        <w:tblLook w:val="04A0" w:firstRow="1" w:lastRow="0" w:firstColumn="1" w:lastColumn="0" w:noHBand="0" w:noVBand="1"/>
      </w:tblPr>
      <w:tblGrid>
        <w:gridCol w:w="1986"/>
        <w:gridCol w:w="1640"/>
        <w:gridCol w:w="1254"/>
        <w:gridCol w:w="1441"/>
        <w:gridCol w:w="1254"/>
        <w:gridCol w:w="1254"/>
      </w:tblGrid>
      <w:tr w:rsidR="0020202E" w:rsidRPr="004C52D9" w14:paraId="782A96E9" w14:textId="77777777" w:rsidTr="007C16F6">
        <w:trPr>
          <w:trHeight w:val="343"/>
          <w:jc w:val="center"/>
        </w:trPr>
        <w:tc>
          <w:tcPr>
            <w:tcW w:w="1986" w:type="dxa"/>
            <w:tcBorders>
              <w:top w:val="single" w:sz="8" w:space="0" w:color="000000"/>
              <w:left w:val="nil"/>
              <w:bottom w:val="single" w:sz="4" w:space="0" w:color="000000"/>
              <w:right w:val="nil"/>
            </w:tcBorders>
            <w:shd w:val="clear" w:color="auto" w:fill="auto"/>
            <w:noWrap/>
            <w:vAlign w:val="center"/>
            <w:hideMark/>
          </w:tcPr>
          <w:p w14:paraId="412D0F10"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Dataset</w:t>
            </w:r>
          </w:p>
        </w:tc>
        <w:tc>
          <w:tcPr>
            <w:tcW w:w="1640" w:type="dxa"/>
            <w:tcBorders>
              <w:top w:val="single" w:sz="8" w:space="0" w:color="000000"/>
              <w:left w:val="nil"/>
              <w:bottom w:val="single" w:sz="4" w:space="0" w:color="000000"/>
              <w:right w:val="nil"/>
            </w:tcBorders>
            <w:shd w:val="clear" w:color="auto" w:fill="auto"/>
            <w:noWrap/>
            <w:vAlign w:val="center"/>
            <w:hideMark/>
          </w:tcPr>
          <w:p w14:paraId="78A7A0BE"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Data class</w:t>
            </w:r>
          </w:p>
        </w:tc>
        <w:tc>
          <w:tcPr>
            <w:tcW w:w="1254" w:type="dxa"/>
            <w:tcBorders>
              <w:top w:val="single" w:sz="8" w:space="0" w:color="000000"/>
              <w:left w:val="nil"/>
              <w:bottom w:val="single" w:sz="4" w:space="0" w:color="000000"/>
              <w:right w:val="nil"/>
            </w:tcBorders>
            <w:shd w:val="clear" w:color="auto" w:fill="auto"/>
            <w:noWrap/>
            <w:vAlign w:val="center"/>
            <w:hideMark/>
          </w:tcPr>
          <w:p w14:paraId="51CE813F"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Training</w:t>
            </w:r>
          </w:p>
        </w:tc>
        <w:tc>
          <w:tcPr>
            <w:tcW w:w="1441" w:type="dxa"/>
            <w:tcBorders>
              <w:top w:val="single" w:sz="8" w:space="0" w:color="000000"/>
              <w:left w:val="nil"/>
              <w:bottom w:val="single" w:sz="4" w:space="0" w:color="000000"/>
              <w:right w:val="nil"/>
            </w:tcBorders>
            <w:shd w:val="clear" w:color="auto" w:fill="auto"/>
            <w:noWrap/>
            <w:vAlign w:val="center"/>
            <w:hideMark/>
          </w:tcPr>
          <w:p w14:paraId="7A414133"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Validation</w:t>
            </w:r>
          </w:p>
        </w:tc>
        <w:tc>
          <w:tcPr>
            <w:tcW w:w="1254" w:type="dxa"/>
            <w:tcBorders>
              <w:top w:val="single" w:sz="8" w:space="0" w:color="000000"/>
              <w:left w:val="nil"/>
              <w:bottom w:val="single" w:sz="4" w:space="0" w:color="000000"/>
              <w:right w:val="nil"/>
            </w:tcBorders>
            <w:shd w:val="clear" w:color="auto" w:fill="auto"/>
            <w:noWrap/>
            <w:vAlign w:val="center"/>
            <w:hideMark/>
          </w:tcPr>
          <w:p w14:paraId="346F3046"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Test</w:t>
            </w:r>
          </w:p>
        </w:tc>
        <w:tc>
          <w:tcPr>
            <w:tcW w:w="1254" w:type="dxa"/>
            <w:tcBorders>
              <w:top w:val="single" w:sz="8" w:space="0" w:color="000000"/>
              <w:left w:val="nil"/>
              <w:bottom w:val="single" w:sz="4" w:space="0" w:color="000000"/>
              <w:right w:val="nil"/>
            </w:tcBorders>
            <w:shd w:val="clear" w:color="auto" w:fill="auto"/>
            <w:noWrap/>
            <w:vAlign w:val="center"/>
            <w:hideMark/>
          </w:tcPr>
          <w:p w14:paraId="289BB2E4"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Total</w:t>
            </w:r>
          </w:p>
        </w:tc>
      </w:tr>
      <w:tr w:rsidR="0020202E" w:rsidRPr="004C52D9" w14:paraId="5E1AD2C1" w14:textId="77777777" w:rsidTr="007C16F6">
        <w:trPr>
          <w:trHeight w:val="343"/>
          <w:jc w:val="center"/>
        </w:trPr>
        <w:tc>
          <w:tcPr>
            <w:tcW w:w="1986" w:type="dxa"/>
            <w:vMerge w:val="restart"/>
            <w:tcBorders>
              <w:top w:val="nil"/>
              <w:left w:val="nil"/>
              <w:bottom w:val="nil"/>
              <w:right w:val="nil"/>
            </w:tcBorders>
            <w:shd w:val="clear" w:color="auto" w:fill="auto"/>
            <w:noWrap/>
            <w:vAlign w:val="center"/>
            <w:hideMark/>
          </w:tcPr>
          <w:p w14:paraId="14EC70CB"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Classification</w:t>
            </w:r>
          </w:p>
        </w:tc>
        <w:tc>
          <w:tcPr>
            <w:tcW w:w="1640" w:type="dxa"/>
            <w:tcBorders>
              <w:top w:val="nil"/>
              <w:left w:val="nil"/>
              <w:bottom w:val="nil"/>
              <w:right w:val="nil"/>
            </w:tcBorders>
            <w:shd w:val="clear" w:color="auto" w:fill="auto"/>
            <w:noWrap/>
            <w:vAlign w:val="center"/>
            <w:hideMark/>
          </w:tcPr>
          <w:p w14:paraId="4DAFD0DF"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noninhibitor</w:t>
            </w:r>
          </w:p>
        </w:tc>
        <w:tc>
          <w:tcPr>
            <w:tcW w:w="1254" w:type="dxa"/>
            <w:tcBorders>
              <w:top w:val="nil"/>
              <w:left w:val="nil"/>
              <w:bottom w:val="nil"/>
              <w:right w:val="nil"/>
            </w:tcBorders>
            <w:shd w:val="clear" w:color="auto" w:fill="auto"/>
            <w:vAlign w:val="center"/>
            <w:hideMark/>
          </w:tcPr>
          <w:p w14:paraId="6CECCC88"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9196</w:t>
            </w:r>
          </w:p>
        </w:tc>
        <w:tc>
          <w:tcPr>
            <w:tcW w:w="1441" w:type="dxa"/>
            <w:tcBorders>
              <w:top w:val="nil"/>
              <w:left w:val="nil"/>
              <w:bottom w:val="nil"/>
              <w:right w:val="nil"/>
            </w:tcBorders>
            <w:shd w:val="clear" w:color="auto" w:fill="auto"/>
            <w:vAlign w:val="center"/>
            <w:hideMark/>
          </w:tcPr>
          <w:p w14:paraId="536F6F39"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3066</w:t>
            </w:r>
          </w:p>
        </w:tc>
        <w:tc>
          <w:tcPr>
            <w:tcW w:w="1254" w:type="dxa"/>
            <w:tcBorders>
              <w:top w:val="nil"/>
              <w:left w:val="nil"/>
              <w:bottom w:val="nil"/>
              <w:right w:val="nil"/>
            </w:tcBorders>
            <w:shd w:val="clear" w:color="auto" w:fill="auto"/>
            <w:vAlign w:val="center"/>
            <w:hideMark/>
          </w:tcPr>
          <w:p w14:paraId="750AB43F"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3065</w:t>
            </w:r>
          </w:p>
        </w:tc>
        <w:tc>
          <w:tcPr>
            <w:tcW w:w="1254" w:type="dxa"/>
            <w:tcBorders>
              <w:top w:val="nil"/>
              <w:left w:val="nil"/>
              <w:bottom w:val="nil"/>
              <w:right w:val="nil"/>
            </w:tcBorders>
            <w:shd w:val="clear" w:color="auto" w:fill="auto"/>
            <w:vAlign w:val="center"/>
            <w:hideMark/>
          </w:tcPr>
          <w:p w14:paraId="36B1CD39"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15327</w:t>
            </w:r>
          </w:p>
        </w:tc>
      </w:tr>
      <w:tr w:rsidR="0020202E" w:rsidRPr="004C52D9" w14:paraId="43F7B2DB" w14:textId="77777777" w:rsidTr="007C16F6">
        <w:trPr>
          <w:trHeight w:val="343"/>
          <w:jc w:val="center"/>
        </w:trPr>
        <w:tc>
          <w:tcPr>
            <w:tcW w:w="1986" w:type="dxa"/>
            <w:vMerge/>
            <w:tcBorders>
              <w:top w:val="nil"/>
              <w:left w:val="nil"/>
              <w:bottom w:val="nil"/>
              <w:right w:val="nil"/>
            </w:tcBorders>
            <w:vAlign w:val="center"/>
            <w:hideMark/>
          </w:tcPr>
          <w:p w14:paraId="46142827" w14:textId="77777777" w:rsidR="0020202E" w:rsidRPr="004C52D9" w:rsidRDefault="0020202E" w:rsidP="007C16F6">
            <w:pPr>
              <w:widowControl/>
              <w:jc w:val="center"/>
              <w:rPr>
                <w:rFonts w:ascii="Times New Roman" w:eastAsia="等线" w:hAnsi="Times New Roman" w:cs="Times New Roman"/>
                <w:color w:val="000000"/>
                <w:kern w:val="0"/>
                <w:szCs w:val="21"/>
              </w:rPr>
            </w:pPr>
          </w:p>
        </w:tc>
        <w:tc>
          <w:tcPr>
            <w:tcW w:w="1640" w:type="dxa"/>
            <w:tcBorders>
              <w:top w:val="nil"/>
              <w:left w:val="nil"/>
              <w:bottom w:val="nil"/>
              <w:right w:val="nil"/>
            </w:tcBorders>
            <w:shd w:val="clear" w:color="auto" w:fill="auto"/>
            <w:noWrap/>
            <w:vAlign w:val="center"/>
            <w:hideMark/>
          </w:tcPr>
          <w:p w14:paraId="0E554B8B"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inhibitor</w:t>
            </w:r>
          </w:p>
        </w:tc>
        <w:tc>
          <w:tcPr>
            <w:tcW w:w="1254" w:type="dxa"/>
            <w:tcBorders>
              <w:top w:val="nil"/>
              <w:left w:val="nil"/>
              <w:bottom w:val="nil"/>
              <w:right w:val="nil"/>
            </w:tcBorders>
            <w:shd w:val="clear" w:color="auto" w:fill="auto"/>
            <w:vAlign w:val="center"/>
            <w:hideMark/>
          </w:tcPr>
          <w:p w14:paraId="793FD222"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7031</w:t>
            </w:r>
          </w:p>
        </w:tc>
        <w:tc>
          <w:tcPr>
            <w:tcW w:w="1441" w:type="dxa"/>
            <w:tcBorders>
              <w:top w:val="nil"/>
              <w:left w:val="nil"/>
              <w:bottom w:val="nil"/>
              <w:right w:val="nil"/>
            </w:tcBorders>
            <w:shd w:val="clear" w:color="auto" w:fill="auto"/>
            <w:vAlign w:val="center"/>
            <w:hideMark/>
          </w:tcPr>
          <w:p w14:paraId="206D5CDD"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2344</w:t>
            </w:r>
          </w:p>
        </w:tc>
        <w:tc>
          <w:tcPr>
            <w:tcW w:w="1254" w:type="dxa"/>
            <w:tcBorders>
              <w:top w:val="nil"/>
              <w:left w:val="nil"/>
              <w:bottom w:val="nil"/>
              <w:right w:val="nil"/>
            </w:tcBorders>
            <w:shd w:val="clear" w:color="auto" w:fill="auto"/>
            <w:vAlign w:val="center"/>
            <w:hideMark/>
          </w:tcPr>
          <w:p w14:paraId="1E903D2A"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2343</w:t>
            </w:r>
          </w:p>
        </w:tc>
        <w:tc>
          <w:tcPr>
            <w:tcW w:w="1254" w:type="dxa"/>
            <w:tcBorders>
              <w:top w:val="nil"/>
              <w:left w:val="nil"/>
              <w:bottom w:val="nil"/>
              <w:right w:val="nil"/>
            </w:tcBorders>
            <w:shd w:val="clear" w:color="auto" w:fill="auto"/>
            <w:vAlign w:val="center"/>
            <w:hideMark/>
          </w:tcPr>
          <w:p w14:paraId="1E87348C"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11718</w:t>
            </w:r>
          </w:p>
        </w:tc>
      </w:tr>
      <w:tr w:rsidR="0020202E" w:rsidRPr="004C52D9" w14:paraId="04FAE117" w14:textId="77777777" w:rsidTr="007C16F6">
        <w:trPr>
          <w:trHeight w:val="343"/>
          <w:jc w:val="center"/>
        </w:trPr>
        <w:tc>
          <w:tcPr>
            <w:tcW w:w="1986" w:type="dxa"/>
            <w:vMerge/>
            <w:tcBorders>
              <w:top w:val="nil"/>
              <w:left w:val="nil"/>
              <w:bottom w:val="nil"/>
              <w:right w:val="nil"/>
            </w:tcBorders>
            <w:vAlign w:val="center"/>
            <w:hideMark/>
          </w:tcPr>
          <w:p w14:paraId="109546CA" w14:textId="77777777" w:rsidR="0020202E" w:rsidRPr="004C52D9" w:rsidRDefault="0020202E" w:rsidP="007C16F6">
            <w:pPr>
              <w:widowControl/>
              <w:jc w:val="center"/>
              <w:rPr>
                <w:rFonts w:ascii="Times New Roman" w:eastAsia="等线" w:hAnsi="Times New Roman" w:cs="Times New Roman"/>
                <w:color w:val="000000"/>
                <w:kern w:val="0"/>
                <w:szCs w:val="21"/>
              </w:rPr>
            </w:pPr>
          </w:p>
        </w:tc>
        <w:tc>
          <w:tcPr>
            <w:tcW w:w="1640" w:type="dxa"/>
            <w:tcBorders>
              <w:top w:val="nil"/>
              <w:left w:val="nil"/>
              <w:bottom w:val="nil"/>
              <w:right w:val="nil"/>
            </w:tcBorders>
            <w:shd w:val="clear" w:color="auto" w:fill="auto"/>
            <w:noWrap/>
            <w:vAlign w:val="center"/>
            <w:hideMark/>
          </w:tcPr>
          <w:p w14:paraId="49C974F2"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total</w:t>
            </w:r>
          </w:p>
        </w:tc>
        <w:tc>
          <w:tcPr>
            <w:tcW w:w="1254" w:type="dxa"/>
            <w:tcBorders>
              <w:top w:val="nil"/>
              <w:left w:val="nil"/>
              <w:bottom w:val="nil"/>
              <w:right w:val="nil"/>
            </w:tcBorders>
            <w:shd w:val="clear" w:color="auto" w:fill="auto"/>
            <w:vAlign w:val="center"/>
            <w:hideMark/>
          </w:tcPr>
          <w:p w14:paraId="50983F48"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16227</w:t>
            </w:r>
          </w:p>
        </w:tc>
        <w:tc>
          <w:tcPr>
            <w:tcW w:w="1441" w:type="dxa"/>
            <w:tcBorders>
              <w:top w:val="nil"/>
              <w:left w:val="nil"/>
              <w:bottom w:val="nil"/>
              <w:right w:val="nil"/>
            </w:tcBorders>
            <w:shd w:val="clear" w:color="auto" w:fill="auto"/>
            <w:vAlign w:val="center"/>
            <w:hideMark/>
          </w:tcPr>
          <w:p w14:paraId="7BC07F0D"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5410</w:t>
            </w:r>
          </w:p>
        </w:tc>
        <w:tc>
          <w:tcPr>
            <w:tcW w:w="1254" w:type="dxa"/>
            <w:tcBorders>
              <w:top w:val="nil"/>
              <w:left w:val="nil"/>
              <w:bottom w:val="nil"/>
              <w:right w:val="nil"/>
            </w:tcBorders>
            <w:shd w:val="clear" w:color="auto" w:fill="auto"/>
            <w:vAlign w:val="center"/>
            <w:hideMark/>
          </w:tcPr>
          <w:p w14:paraId="22D70405"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5408</w:t>
            </w:r>
          </w:p>
        </w:tc>
        <w:tc>
          <w:tcPr>
            <w:tcW w:w="1254" w:type="dxa"/>
            <w:tcBorders>
              <w:top w:val="nil"/>
              <w:left w:val="nil"/>
              <w:bottom w:val="nil"/>
              <w:right w:val="nil"/>
            </w:tcBorders>
            <w:shd w:val="clear" w:color="auto" w:fill="auto"/>
            <w:vAlign w:val="center"/>
            <w:hideMark/>
          </w:tcPr>
          <w:p w14:paraId="2DC1F5AE"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27045</w:t>
            </w:r>
          </w:p>
        </w:tc>
      </w:tr>
      <w:tr w:rsidR="0020202E" w:rsidRPr="004C52D9" w14:paraId="13E3DBC7" w14:textId="77777777" w:rsidTr="007C16F6">
        <w:trPr>
          <w:trHeight w:val="358"/>
          <w:jc w:val="center"/>
        </w:trPr>
        <w:tc>
          <w:tcPr>
            <w:tcW w:w="1986" w:type="dxa"/>
            <w:tcBorders>
              <w:top w:val="nil"/>
              <w:left w:val="nil"/>
              <w:bottom w:val="single" w:sz="8" w:space="0" w:color="000000"/>
              <w:right w:val="nil"/>
            </w:tcBorders>
            <w:shd w:val="clear" w:color="auto" w:fill="auto"/>
            <w:noWrap/>
            <w:vAlign w:val="center"/>
            <w:hideMark/>
          </w:tcPr>
          <w:p w14:paraId="2799F0C5"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Regression</w:t>
            </w:r>
          </w:p>
        </w:tc>
        <w:tc>
          <w:tcPr>
            <w:tcW w:w="1640" w:type="dxa"/>
            <w:tcBorders>
              <w:top w:val="nil"/>
              <w:left w:val="nil"/>
              <w:bottom w:val="single" w:sz="8" w:space="0" w:color="000000"/>
              <w:right w:val="nil"/>
            </w:tcBorders>
            <w:shd w:val="clear" w:color="auto" w:fill="auto"/>
            <w:noWrap/>
            <w:vAlign w:val="center"/>
            <w:hideMark/>
          </w:tcPr>
          <w:p w14:paraId="57B67EFF"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w:t>
            </w:r>
          </w:p>
        </w:tc>
        <w:tc>
          <w:tcPr>
            <w:tcW w:w="1254" w:type="dxa"/>
            <w:tcBorders>
              <w:top w:val="nil"/>
              <w:left w:val="nil"/>
              <w:bottom w:val="single" w:sz="8" w:space="0" w:color="000000"/>
              <w:right w:val="nil"/>
            </w:tcBorders>
            <w:shd w:val="clear" w:color="auto" w:fill="auto"/>
            <w:noWrap/>
            <w:vAlign w:val="center"/>
            <w:hideMark/>
          </w:tcPr>
          <w:p w14:paraId="0F32D6C7"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2812</w:t>
            </w:r>
          </w:p>
        </w:tc>
        <w:tc>
          <w:tcPr>
            <w:tcW w:w="1441" w:type="dxa"/>
            <w:tcBorders>
              <w:top w:val="nil"/>
              <w:left w:val="nil"/>
              <w:bottom w:val="single" w:sz="8" w:space="0" w:color="000000"/>
              <w:right w:val="nil"/>
            </w:tcBorders>
            <w:shd w:val="clear" w:color="auto" w:fill="auto"/>
            <w:noWrap/>
            <w:vAlign w:val="center"/>
            <w:hideMark/>
          </w:tcPr>
          <w:p w14:paraId="2C66577A"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703</w:t>
            </w:r>
          </w:p>
        </w:tc>
        <w:tc>
          <w:tcPr>
            <w:tcW w:w="1254" w:type="dxa"/>
            <w:tcBorders>
              <w:top w:val="nil"/>
              <w:left w:val="nil"/>
              <w:bottom w:val="single" w:sz="8" w:space="0" w:color="000000"/>
              <w:right w:val="nil"/>
            </w:tcBorders>
            <w:shd w:val="clear" w:color="auto" w:fill="auto"/>
            <w:noWrap/>
            <w:vAlign w:val="center"/>
            <w:hideMark/>
          </w:tcPr>
          <w:p w14:paraId="6D36AC39"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880</w:t>
            </w:r>
          </w:p>
        </w:tc>
        <w:tc>
          <w:tcPr>
            <w:tcW w:w="1254" w:type="dxa"/>
            <w:tcBorders>
              <w:top w:val="nil"/>
              <w:left w:val="nil"/>
              <w:bottom w:val="single" w:sz="8" w:space="0" w:color="000000"/>
              <w:right w:val="nil"/>
            </w:tcBorders>
            <w:shd w:val="clear" w:color="auto" w:fill="auto"/>
            <w:noWrap/>
            <w:vAlign w:val="center"/>
            <w:hideMark/>
          </w:tcPr>
          <w:p w14:paraId="6579FCCB" w14:textId="77777777" w:rsidR="0020202E" w:rsidRPr="004C52D9" w:rsidRDefault="0020202E" w:rsidP="007C16F6">
            <w:pPr>
              <w:widowControl/>
              <w:jc w:val="center"/>
              <w:rPr>
                <w:rFonts w:ascii="Times New Roman" w:eastAsia="等线" w:hAnsi="Times New Roman" w:cs="Times New Roman"/>
                <w:color w:val="000000"/>
                <w:kern w:val="0"/>
                <w:szCs w:val="21"/>
              </w:rPr>
            </w:pPr>
            <w:r w:rsidRPr="004C52D9">
              <w:rPr>
                <w:rFonts w:ascii="Times New Roman" w:eastAsia="等线" w:hAnsi="Times New Roman" w:cs="Times New Roman"/>
                <w:color w:val="000000"/>
                <w:kern w:val="0"/>
                <w:szCs w:val="21"/>
              </w:rPr>
              <w:t>4395</w:t>
            </w:r>
          </w:p>
        </w:tc>
      </w:tr>
    </w:tbl>
    <w:p w14:paraId="27732794" w14:textId="77777777" w:rsidR="0020202E" w:rsidRPr="004C52D9" w:rsidRDefault="0020202E" w:rsidP="0020202E">
      <w:pPr>
        <w:spacing w:line="276" w:lineRule="auto"/>
        <w:rPr>
          <w:rFonts w:ascii="Times New Roman" w:eastAsia="宋体" w:hAnsi="Times New Roman" w:cs="Times New Roman"/>
          <w:szCs w:val="21"/>
        </w:rPr>
      </w:pPr>
    </w:p>
    <w:p w14:paraId="07C21AC8" w14:textId="77777777" w:rsidR="0020202E" w:rsidRPr="004C52D9" w:rsidRDefault="0020202E" w:rsidP="0020202E">
      <w:pPr>
        <w:spacing w:line="276" w:lineRule="auto"/>
        <w:jc w:val="center"/>
        <w:rPr>
          <w:rFonts w:ascii="Times New Roman" w:eastAsia="宋体" w:hAnsi="Times New Roman" w:cs="Times New Roman"/>
          <w:szCs w:val="21"/>
        </w:rPr>
      </w:pPr>
      <w:r w:rsidRPr="005C60FF">
        <w:rPr>
          <w:rFonts w:ascii="Times New Roman" w:eastAsia="宋体" w:hAnsi="Times New Roman" w:cs="Times New Roman"/>
          <w:bCs/>
          <w:szCs w:val="21"/>
        </w:rPr>
        <w:t xml:space="preserve">Table 2. </w:t>
      </w:r>
      <w:r w:rsidRPr="004C52D9">
        <w:rPr>
          <w:rFonts w:ascii="Times New Roman" w:eastAsia="宋体" w:hAnsi="Times New Roman" w:cs="Times New Roman"/>
          <w:szCs w:val="21"/>
        </w:rPr>
        <w:t>Hyperparameters settings</w:t>
      </w:r>
      <w:r>
        <w:rPr>
          <w:rFonts w:ascii="Times New Roman" w:eastAsia="宋体" w:hAnsi="Times New Roman" w:cs="Times New Roman"/>
          <w:szCs w:val="21"/>
        </w:rPr>
        <w:t>.</w:t>
      </w:r>
    </w:p>
    <w:tbl>
      <w:tblPr>
        <w:tblW w:w="8889" w:type="dxa"/>
        <w:jc w:val="center"/>
        <w:tblCellMar>
          <w:left w:w="0" w:type="dxa"/>
          <w:right w:w="0" w:type="dxa"/>
        </w:tblCellMar>
        <w:tblLook w:val="04A0" w:firstRow="1" w:lastRow="0" w:firstColumn="1" w:lastColumn="0" w:noHBand="0" w:noVBand="1"/>
      </w:tblPr>
      <w:tblGrid>
        <w:gridCol w:w="4447"/>
        <w:gridCol w:w="4442"/>
      </w:tblGrid>
      <w:tr w:rsidR="0020202E" w:rsidRPr="004C52D9" w14:paraId="1576B027" w14:textId="77777777" w:rsidTr="007C16F6">
        <w:trPr>
          <w:trHeight w:val="22"/>
          <w:jc w:val="center"/>
        </w:trPr>
        <w:tc>
          <w:tcPr>
            <w:tcW w:w="4447" w:type="dxa"/>
            <w:tcBorders>
              <w:top w:val="single" w:sz="8" w:space="0" w:color="000000"/>
              <w:left w:val="nil"/>
              <w:bottom w:val="single" w:sz="6" w:space="0" w:color="000000"/>
              <w:right w:val="nil"/>
            </w:tcBorders>
            <w:shd w:val="clear" w:color="auto" w:fill="auto"/>
            <w:tcMar>
              <w:top w:w="15" w:type="dxa"/>
              <w:left w:w="15" w:type="dxa"/>
              <w:bottom w:w="0" w:type="dxa"/>
              <w:right w:w="15" w:type="dxa"/>
            </w:tcMar>
            <w:vAlign w:val="center"/>
          </w:tcPr>
          <w:p w14:paraId="3C8A1F1B" w14:textId="77777777" w:rsidR="0020202E" w:rsidRPr="004C52D9" w:rsidRDefault="0020202E" w:rsidP="007C16F6">
            <w:pPr>
              <w:spacing w:line="276" w:lineRule="auto"/>
              <w:jc w:val="center"/>
              <w:rPr>
                <w:rFonts w:ascii="Times New Roman" w:eastAsia="宋体" w:hAnsi="Times New Roman" w:cs="Times New Roman"/>
                <w:szCs w:val="21"/>
              </w:rPr>
            </w:pPr>
            <w:r w:rsidRPr="004C52D9">
              <w:rPr>
                <w:rFonts w:ascii="Times New Roman" w:eastAsia="宋体" w:hAnsi="Times New Roman" w:cs="Times New Roman"/>
                <w:szCs w:val="21"/>
              </w:rPr>
              <w:t>Hyperparameters</w:t>
            </w:r>
          </w:p>
        </w:tc>
        <w:tc>
          <w:tcPr>
            <w:tcW w:w="4442" w:type="dxa"/>
            <w:tcBorders>
              <w:top w:val="single" w:sz="8" w:space="0" w:color="000000"/>
              <w:left w:val="nil"/>
              <w:bottom w:val="single" w:sz="6" w:space="0" w:color="000000"/>
              <w:right w:val="nil"/>
            </w:tcBorders>
            <w:shd w:val="clear" w:color="auto" w:fill="auto"/>
            <w:tcMar>
              <w:top w:w="15" w:type="dxa"/>
              <w:left w:w="15" w:type="dxa"/>
              <w:bottom w:w="0" w:type="dxa"/>
              <w:right w:w="15" w:type="dxa"/>
            </w:tcMar>
            <w:vAlign w:val="center"/>
          </w:tcPr>
          <w:p w14:paraId="19D82E58" w14:textId="77777777" w:rsidR="0020202E" w:rsidRPr="004C52D9" w:rsidRDefault="0020202E" w:rsidP="007C16F6">
            <w:pPr>
              <w:spacing w:line="276" w:lineRule="auto"/>
              <w:jc w:val="center"/>
              <w:rPr>
                <w:rFonts w:ascii="Times New Roman" w:eastAsia="宋体" w:hAnsi="Times New Roman" w:cs="Times New Roman"/>
                <w:szCs w:val="21"/>
              </w:rPr>
            </w:pPr>
            <w:r w:rsidRPr="004C52D9">
              <w:rPr>
                <w:rFonts w:ascii="Times New Roman" w:eastAsia="宋体" w:hAnsi="Times New Roman" w:cs="Times New Roman"/>
                <w:szCs w:val="21"/>
              </w:rPr>
              <w:t>Values</w:t>
            </w:r>
            <w:r w:rsidRPr="004C52D9">
              <w:rPr>
                <w:rFonts w:ascii="Times New Roman" w:hAnsi="Times New Roman" w:cs="Times New Roman"/>
                <w:i/>
                <w:iCs/>
                <w:szCs w:val="21"/>
                <w:vertAlign w:val="superscript"/>
              </w:rPr>
              <w:t>*</w:t>
            </w:r>
          </w:p>
        </w:tc>
      </w:tr>
      <w:tr w:rsidR="0020202E" w:rsidRPr="004C52D9" w14:paraId="21A83844" w14:textId="77777777" w:rsidTr="007C16F6">
        <w:trPr>
          <w:trHeight w:val="22"/>
          <w:jc w:val="center"/>
        </w:trPr>
        <w:tc>
          <w:tcPr>
            <w:tcW w:w="4447" w:type="dxa"/>
            <w:tcBorders>
              <w:top w:val="single" w:sz="6" w:space="0" w:color="000000"/>
              <w:left w:val="nil"/>
              <w:right w:val="nil"/>
            </w:tcBorders>
            <w:shd w:val="clear" w:color="auto" w:fill="auto"/>
            <w:tcMar>
              <w:top w:w="15" w:type="dxa"/>
              <w:left w:w="15" w:type="dxa"/>
              <w:bottom w:w="0" w:type="dxa"/>
              <w:right w:w="15" w:type="dxa"/>
            </w:tcMar>
            <w:vAlign w:val="center"/>
          </w:tcPr>
          <w:p w14:paraId="055074E7" w14:textId="77777777" w:rsidR="0020202E" w:rsidRPr="004C52D9" w:rsidRDefault="0020202E" w:rsidP="007C16F6">
            <w:pPr>
              <w:spacing w:line="276" w:lineRule="auto"/>
              <w:jc w:val="center"/>
              <w:rPr>
                <w:rFonts w:ascii="Times New Roman" w:eastAsia="宋体" w:hAnsi="Times New Roman" w:cs="Times New Roman"/>
                <w:szCs w:val="21"/>
              </w:rPr>
            </w:pPr>
            <w:r w:rsidRPr="004C52D9">
              <w:rPr>
                <w:rFonts w:ascii="Times New Roman" w:eastAsia="宋体" w:hAnsi="Times New Roman" w:cs="Times New Roman"/>
                <w:szCs w:val="21"/>
              </w:rPr>
              <w:t xml:space="preserve">Regularization coefficient </w:t>
            </w:r>
            <w:r w:rsidRPr="004C52D9">
              <w:rPr>
                <w:rFonts w:ascii="Times New Roman" w:eastAsia="宋体" w:hAnsi="Times New Roman" w:cs="Times New Roman" w:hint="eastAsia"/>
                <w:szCs w:val="21"/>
              </w:rPr>
              <w:t>λ</w:t>
            </w:r>
          </w:p>
        </w:tc>
        <w:tc>
          <w:tcPr>
            <w:tcW w:w="4442" w:type="dxa"/>
            <w:tcBorders>
              <w:top w:val="single" w:sz="6" w:space="0" w:color="000000"/>
              <w:left w:val="nil"/>
              <w:right w:val="nil"/>
            </w:tcBorders>
            <w:shd w:val="clear" w:color="auto" w:fill="auto"/>
            <w:tcMar>
              <w:top w:w="15" w:type="dxa"/>
              <w:left w:w="15" w:type="dxa"/>
              <w:bottom w:w="0" w:type="dxa"/>
              <w:right w:w="15" w:type="dxa"/>
            </w:tcMar>
            <w:vAlign w:val="center"/>
          </w:tcPr>
          <w:p w14:paraId="7AA18640" w14:textId="77777777" w:rsidR="0020202E" w:rsidRPr="004C52D9" w:rsidRDefault="0020202E" w:rsidP="007C16F6">
            <w:pPr>
              <w:spacing w:line="276" w:lineRule="auto"/>
              <w:jc w:val="center"/>
              <w:rPr>
                <w:rFonts w:ascii="Times New Roman" w:eastAsia="宋体" w:hAnsi="Times New Roman" w:cs="Times New Roman"/>
                <w:szCs w:val="21"/>
              </w:rPr>
            </w:pPr>
            <w:r w:rsidRPr="004C52D9">
              <w:rPr>
                <w:rFonts w:ascii="Times New Roman" w:eastAsia="宋体" w:hAnsi="Times New Roman" w:cs="Times New Roman"/>
                <w:szCs w:val="21"/>
              </w:rPr>
              <w:t>0.005, 0.01, 0.05, 0.1,</w:t>
            </w:r>
            <w:r w:rsidRPr="004C52D9">
              <w:rPr>
                <w:rFonts w:ascii="Times New Roman" w:eastAsia="宋体" w:hAnsi="Times New Roman" w:cs="Times New Roman"/>
                <w:b/>
                <w:bCs/>
                <w:szCs w:val="21"/>
              </w:rPr>
              <w:t xml:space="preserve"> 0.2</w:t>
            </w:r>
            <w:r w:rsidRPr="004C52D9">
              <w:rPr>
                <w:rFonts w:ascii="Times New Roman" w:eastAsia="宋体" w:hAnsi="Times New Roman" w:cs="Times New Roman"/>
                <w:szCs w:val="21"/>
              </w:rPr>
              <w:t>, 0.4, 0.6, 0.8,1</w:t>
            </w:r>
          </w:p>
        </w:tc>
      </w:tr>
      <w:tr w:rsidR="0020202E" w:rsidRPr="004C52D9" w14:paraId="4D247D12" w14:textId="77777777" w:rsidTr="007C16F6">
        <w:trPr>
          <w:trHeight w:val="22"/>
          <w:jc w:val="center"/>
        </w:trPr>
        <w:tc>
          <w:tcPr>
            <w:tcW w:w="4447" w:type="dxa"/>
            <w:tcBorders>
              <w:left w:val="nil"/>
              <w:bottom w:val="nil"/>
              <w:right w:val="nil"/>
            </w:tcBorders>
            <w:shd w:val="clear" w:color="auto" w:fill="auto"/>
            <w:tcMar>
              <w:top w:w="15" w:type="dxa"/>
              <w:left w:w="15" w:type="dxa"/>
              <w:bottom w:w="0" w:type="dxa"/>
              <w:right w:w="15" w:type="dxa"/>
            </w:tcMar>
            <w:vAlign w:val="center"/>
          </w:tcPr>
          <w:p w14:paraId="4D835BA6" w14:textId="77777777" w:rsidR="0020202E" w:rsidRPr="004C52D9" w:rsidRDefault="0020202E" w:rsidP="007C16F6">
            <w:pPr>
              <w:spacing w:line="276" w:lineRule="auto"/>
              <w:jc w:val="center"/>
              <w:rPr>
                <w:rFonts w:ascii="Times New Roman" w:eastAsia="宋体" w:hAnsi="Times New Roman" w:cs="Times New Roman"/>
                <w:szCs w:val="21"/>
              </w:rPr>
            </w:pPr>
            <w:r w:rsidRPr="004C52D9">
              <w:rPr>
                <w:rFonts w:ascii="Times New Roman" w:eastAsia="宋体" w:hAnsi="Times New Roman" w:cs="Times New Roman"/>
                <w:szCs w:val="21"/>
              </w:rPr>
              <w:t>Batch size</w:t>
            </w:r>
          </w:p>
        </w:tc>
        <w:tc>
          <w:tcPr>
            <w:tcW w:w="4442" w:type="dxa"/>
            <w:tcBorders>
              <w:left w:val="nil"/>
              <w:bottom w:val="nil"/>
              <w:right w:val="nil"/>
            </w:tcBorders>
            <w:shd w:val="clear" w:color="auto" w:fill="auto"/>
            <w:tcMar>
              <w:top w:w="15" w:type="dxa"/>
              <w:left w:w="15" w:type="dxa"/>
              <w:bottom w:w="0" w:type="dxa"/>
              <w:right w:w="15" w:type="dxa"/>
            </w:tcMar>
            <w:vAlign w:val="center"/>
          </w:tcPr>
          <w:p w14:paraId="435FCC11" w14:textId="77777777" w:rsidR="0020202E" w:rsidRPr="004C52D9" w:rsidRDefault="0020202E" w:rsidP="007C16F6">
            <w:pPr>
              <w:spacing w:line="276" w:lineRule="auto"/>
              <w:jc w:val="center"/>
              <w:rPr>
                <w:rFonts w:ascii="Times New Roman" w:eastAsia="宋体" w:hAnsi="Times New Roman" w:cs="Times New Roman"/>
                <w:szCs w:val="21"/>
              </w:rPr>
            </w:pPr>
            <w:r w:rsidRPr="004C52D9">
              <w:rPr>
                <w:rFonts w:ascii="Times New Roman" w:eastAsia="宋体" w:hAnsi="Times New Roman" w:cs="Times New Roman"/>
                <w:szCs w:val="21"/>
              </w:rPr>
              <w:t xml:space="preserve">16, 32, </w:t>
            </w:r>
            <w:r w:rsidRPr="004C52D9">
              <w:rPr>
                <w:rFonts w:ascii="Times New Roman" w:eastAsia="宋体" w:hAnsi="Times New Roman" w:cs="Times New Roman"/>
                <w:b/>
                <w:bCs/>
                <w:szCs w:val="21"/>
              </w:rPr>
              <w:t>64</w:t>
            </w:r>
            <w:r w:rsidRPr="004C52D9">
              <w:rPr>
                <w:rFonts w:ascii="Times New Roman" w:eastAsia="宋体" w:hAnsi="Times New Roman" w:cs="Times New Roman"/>
                <w:szCs w:val="21"/>
              </w:rPr>
              <w:t>, 128, 256</w:t>
            </w:r>
          </w:p>
        </w:tc>
      </w:tr>
      <w:tr w:rsidR="0020202E" w:rsidRPr="004C52D9" w14:paraId="5D16384B" w14:textId="77777777" w:rsidTr="007C16F6">
        <w:trPr>
          <w:trHeight w:val="22"/>
          <w:jc w:val="center"/>
        </w:trPr>
        <w:tc>
          <w:tcPr>
            <w:tcW w:w="4447" w:type="dxa"/>
            <w:tcBorders>
              <w:top w:val="nil"/>
              <w:left w:val="nil"/>
              <w:right w:val="nil"/>
            </w:tcBorders>
            <w:shd w:val="clear" w:color="auto" w:fill="auto"/>
            <w:tcMar>
              <w:top w:w="15" w:type="dxa"/>
              <w:left w:w="15" w:type="dxa"/>
              <w:bottom w:w="0" w:type="dxa"/>
              <w:right w:w="15" w:type="dxa"/>
            </w:tcMar>
            <w:vAlign w:val="center"/>
          </w:tcPr>
          <w:p w14:paraId="0BDEEDAA" w14:textId="77777777" w:rsidR="0020202E" w:rsidRPr="004C52D9" w:rsidRDefault="0020202E" w:rsidP="007C16F6">
            <w:pPr>
              <w:spacing w:line="276" w:lineRule="auto"/>
              <w:jc w:val="center"/>
              <w:rPr>
                <w:rFonts w:ascii="Times New Roman" w:eastAsia="宋体" w:hAnsi="Times New Roman" w:cs="Times New Roman"/>
                <w:szCs w:val="21"/>
              </w:rPr>
            </w:pPr>
            <w:r w:rsidRPr="004C52D9">
              <w:rPr>
                <w:rFonts w:ascii="Times New Roman" w:eastAsia="宋体" w:hAnsi="Times New Roman" w:cs="Times New Roman"/>
                <w:szCs w:val="21"/>
              </w:rPr>
              <w:t>Learning rate</w:t>
            </w:r>
          </w:p>
        </w:tc>
        <w:tc>
          <w:tcPr>
            <w:tcW w:w="4442" w:type="dxa"/>
            <w:tcBorders>
              <w:top w:val="nil"/>
              <w:left w:val="nil"/>
              <w:right w:val="nil"/>
            </w:tcBorders>
            <w:shd w:val="clear" w:color="auto" w:fill="auto"/>
            <w:tcMar>
              <w:top w:w="15" w:type="dxa"/>
              <w:left w:w="15" w:type="dxa"/>
              <w:bottom w:w="0" w:type="dxa"/>
              <w:right w:w="15" w:type="dxa"/>
            </w:tcMar>
            <w:vAlign w:val="center"/>
          </w:tcPr>
          <w:p w14:paraId="0250493C" w14:textId="77777777" w:rsidR="0020202E" w:rsidRPr="004C52D9" w:rsidRDefault="0020202E" w:rsidP="007C16F6">
            <w:pPr>
              <w:spacing w:line="276" w:lineRule="auto"/>
              <w:jc w:val="center"/>
              <w:rPr>
                <w:rFonts w:ascii="Times New Roman" w:eastAsia="宋体" w:hAnsi="Times New Roman" w:cs="Times New Roman"/>
                <w:szCs w:val="21"/>
              </w:rPr>
            </w:pPr>
            <w:r w:rsidRPr="004C52D9">
              <w:rPr>
                <w:rFonts w:ascii="Times New Roman" w:eastAsia="宋体" w:hAnsi="Times New Roman" w:cs="Times New Roman"/>
                <w:szCs w:val="21"/>
              </w:rPr>
              <w:t>10</w:t>
            </w:r>
            <w:r w:rsidRPr="004C52D9">
              <w:rPr>
                <w:rFonts w:ascii="Times New Roman" w:eastAsia="宋体" w:hAnsi="Times New Roman" w:cs="Times New Roman"/>
                <w:szCs w:val="21"/>
                <w:vertAlign w:val="superscript"/>
              </w:rPr>
              <w:t>-1</w:t>
            </w:r>
            <w:r w:rsidRPr="004C52D9">
              <w:rPr>
                <w:rFonts w:ascii="Times New Roman" w:eastAsia="宋体" w:hAnsi="Times New Roman" w:cs="Times New Roman"/>
                <w:b/>
                <w:bCs/>
                <w:szCs w:val="21"/>
              </w:rPr>
              <w:t>, 10</w:t>
            </w:r>
            <w:r w:rsidRPr="004C52D9">
              <w:rPr>
                <w:rFonts w:ascii="Times New Roman" w:eastAsia="宋体" w:hAnsi="Times New Roman" w:cs="Times New Roman"/>
                <w:b/>
                <w:bCs/>
                <w:szCs w:val="21"/>
                <w:vertAlign w:val="superscript"/>
              </w:rPr>
              <w:t>-2</w:t>
            </w:r>
            <w:r w:rsidRPr="004C52D9">
              <w:rPr>
                <w:rFonts w:ascii="Times New Roman" w:eastAsia="宋体" w:hAnsi="Times New Roman" w:cs="Times New Roman"/>
                <w:szCs w:val="21"/>
              </w:rPr>
              <w:t>, 10</w:t>
            </w:r>
            <w:r w:rsidRPr="004C52D9">
              <w:rPr>
                <w:rFonts w:ascii="Times New Roman" w:eastAsia="宋体" w:hAnsi="Times New Roman" w:cs="Times New Roman"/>
                <w:szCs w:val="21"/>
                <w:vertAlign w:val="superscript"/>
              </w:rPr>
              <w:t>-3</w:t>
            </w:r>
            <w:r w:rsidRPr="004C52D9">
              <w:rPr>
                <w:rFonts w:ascii="Times New Roman" w:eastAsia="宋体" w:hAnsi="Times New Roman" w:cs="Times New Roman"/>
                <w:szCs w:val="21"/>
              </w:rPr>
              <w:t>, 10</w:t>
            </w:r>
            <w:r w:rsidRPr="004C52D9">
              <w:rPr>
                <w:rFonts w:ascii="Times New Roman" w:eastAsia="宋体" w:hAnsi="Times New Roman" w:cs="Times New Roman"/>
                <w:szCs w:val="21"/>
                <w:vertAlign w:val="superscript"/>
              </w:rPr>
              <w:t>-4</w:t>
            </w:r>
          </w:p>
        </w:tc>
      </w:tr>
      <w:tr w:rsidR="0020202E" w:rsidRPr="004C52D9" w14:paraId="6233E8BD" w14:textId="77777777" w:rsidTr="007C16F6">
        <w:trPr>
          <w:trHeight w:val="22"/>
          <w:jc w:val="center"/>
        </w:trPr>
        <w:tc>
          <w:tcPr>
            <w:tcW w:w="4447" w:type="dxa"/>
            <w:tcBorders>
              <w:top w:val="nil"/>
              <w:left w:val="nil"/>
              <w:bottom w:val="single" w:sz="8" w:space="0" w:color="000000"/>
              <w:right w:val="nil"/>
            </w:tcBorders>
            <w:shd w:val="clear" w:color="auto" w:fill="auto"/>
            <w:tcMar>
              <w:top w:w="15" w:type="dxa"/>
              <w:left w:w="15" w:type="dxa"/>
              <w:bottom w:w="0" w:type="dxa"/>
              <w:right w:w="15" w:type="dxa"/>
            </w:tcMar>
            <w:vAlign w:val="center"/>
          </w:tcPr>
          <w:p w14:paraId="387A899D" w14:textId="77777777" w:rsidR="0020202E" w:rsidRPr="004C52D9" w:rsidRDefault="0020202E" w:rsidP="007C16F6">
            <w:pPr>
              <w:spacing w:line="276" w:lineRule="auto"/>
              <w:jc w:val="center"/>
              <w:rPr>
                <w:rFonts w:ascii="Times New Roman" w:eastAsia="宋体" w:hAnsi="Times New Roman" w:cs="Times New Roman"/>
                <w:szCs w:val="21"/>
              </w:rPr>
            </w:pPr>
            <w:r w:rsidRPr="004C52D9">
              <w:rPr>
                <w:rFonts w:ascii="Times New Roman" w:eastAsia="宋体" w:hAnsi="Times New Roman" w:cs="Times New Roman"/>
                <w:szCs w:val="21"/>
              </w:rPr>
              <w:t>Dropout</w:t>
            </w:r>
          </w:p>
        </w:tc>
        <w:tc>
          <w:tcPr>
            <w:tcW w:w="4442" w:type="dxa"/>
            <w:tcBorders>
              <w:top w:val="nil"/>
              <w:left w:val="nil"/>
              <w:bottom w:val="single" w:sz="8" w:space="0" w:color="000000"/>
              <w:right w:val="nil"/>
            </w:tcBorders>
            <w:shd w:val="clear" w:color="auto" w:fill="auto"/>
            <w:tcMar>
              <w:top w:w="15" w:type="dxa"/>
              <w:left w:w="15" w:type="dxa"/>
              <w:bottom w:w="0" w:type="dxa"/>
              <w:right w:w="15" w:type="dxa"/>
            </w:tcMar>
            <w:vAlign w:val="center"/>
          </w:tcPr>
          <w:p w14:paraId="4FFE19E3" w14:textId="77777777" w:rsidR="0020202E" w:rsidRPr="004C52D9" w:rsidRDefault="0020202E" w:rsidP="007C16F6">
            <w:pPr>
              <w:spacing w:line="276" w:lineRule="auto"/>
              <w:jc w:val="center"/>
              <w:rPr>
                <w:rFonts w:ascii="Times New Roman" w:eastAsia="宋体" w:hAnsi="Times New Roman" w:cs="Times New Roman"/>
                <w:szCs w:val="21"/>
              </w:rPr>
            </w:pPr>
            <w:r w:rsidRPr="004C52D9">
              <w:rPr>
                <w:rFonts w:ascii="Times New Roman" w:eastAsia="宋体" w:hAnsi="Times New Roman" w:cs="Times New Roman"/>
                <w:b/>
                <w:bCs/>
                <w:szCs w:val="21"/>
              </w:rPr>
              <w:t>0.2</w:t>
            </w:r>
            <w:r w:rsidRPr="004C52D9">
              <w:rPr>
                <w:rFonts w:ascii="Times New Roman" w:eastAsia="宋体" w:hAnsi="Times New Roman" w:cs="Times New Roman"/>
                <w:szCs w:val="21"/>
              </w:rPr>
              <w:t>, 0.4, 0.6</w:t>
            </w:r>
          </w:p>
        </w:tc>
      </w:tr>
    </w:tbl>
    <w:p w14:paraId="7C747B3D" w14:textId="77777777" w:rsidR="0020202E" w:rsidRPr="005C60FF" w:rsidRDefault="0020202E" w:rsidP="0020202E">
      <w:pPr>
        <w:rPr>
          <w:rFonts w:ascii="Times New Roman" w:hAnsi="Times New Roman" w:cs="Times New Roman"/>
        </w:rPr>
      </w:pPr>
      <w:bookmarkStart w:id="2" w:name="_Hlk141806705"/>
      <w:r w:rsidRPr="004C52D9">
        <w:rPr>
          <w:rFonts w:ascii="Times New Roman" w:hAnsi="Times New Roman" w:cs="Times New Roman"/>
          <w:i/>
          <w:iCs/>
          <w:szCs w:val="21"/>
          <w:vertAlign w:val="superscript"/>
        </w:rPr>
        <w:t xml:space="preserve">* </w:t>
      </w:r>
      <w:r w:rsidRPr="004C52D9">
        <w:rPr>
          <w:rFonts w:ascii="Times New Roman" w:hAnsi="Times New Roman" w:cs="Times New Roman"/>
          <w:sz w:val="18"/>
          <w:szCs w:val="18"/>
        </w:rPr>
        <w:t xml:space="preserve">Best hyperparameters are </w:t>
      </w:r>
      <w:bookmarkStart w:id="3" w:name="_Hlk141806610"/>
      <w:r w:rsidRPr="004C52D9">
        <w:rPr>
          <w:rFonts w:ascii="Times New Roman" w:hAnsi="Times New Roman" w:cs="Times New Roman"/>
          <w:sz w:val="18"/>
          <w:szCs w:val="18"/>
        </w:rPr>
        <w:t>marked as bold.</w:t>
      </w:r>
      <w:bookmarkEnd w:id="3"/>
    </w:p>
    <w:bookmarkEnd w:id="2"/>
    <w:p w14:paraId="1BA8D889" w14:textId="77777777" w:rsidR="0020202E" w:rsidRPr="00FB517E" w:rsidRDefault="0020202E" w:rsidP="0020202E">
      <w:pPr>
        <w:spacing w:line="276" w:lineRule="auto"/>
        <w:rPr>
          <w:rFonts w:ascii="Times New Roman" w:eastAsia="宋体" w:hAnsi="Times New Roman" w:cs="Times New Roman"/>
          <w:szCs w:val="21"/>
        </w:rPr>
      </w:pPr>
    </w:p>
    <w:p w14:paraId="3787BF89" w14:textId="77777777" w:rsidR="0020202E" w:rsidRPr="005C60FF" w:rsidRDefault="0020202E" w:rsidP="007829B5">
      <w:pPr>
        <w:pStyle w:val="af0"/>
        <w:spacing w:line="276" w:lineRule="auto"/>
        <w:ind w:firstLineChars="0" w:firstLine="0"/>
        <w:outlineLvl w:val="1"/>
        <w:rPr>
          <w:rFonts w:ascii="Times New Roman" w:eastAsia="宋体" w:hAnsi="Times New Roman" w:cs="Times New Roman"/>
          <w:bCs/>
          <w:sz w:val="30"/>
          <w:szCs w:val="30"/>
        </w:rPr>
      </w:pPr>
      <w:r w:rsidRPr="005C60FF">
        <w:rPr>
          <w:rFonts w:ascii="Times New Roman" w:eastAsia="宋体" w:hAnsi="Times New Roman" w:cs="Times New Roman"/>
          <w:bCs/>
          <w:sz w:val="30"/>
          <w:szCs w:val="30"/>
        </w:rPr>
        <w:lastRenderedPageBreak/>
        <w:t>2.3 Model Evaluation</w:t>
      </w:r>
    </w:p>
    <w:p w14:paraId="6DCBB459" w14:textId="77777777" w:rsidR="0020202E" w:rsidRPr="004C52D9" w:rsidRDefault="0020202E" w:rsidP="0020202E">
      <w:pPr>
        <w:spacing w:beforeLines="50" w:before="156" w:afterLines="50" w:after="156" w:line="276" w:lineRule="auto"/>
        <w:ind w:firstLineChars="100" w:firstLine="240"/>
        <w:rPr>
          <w:rFonts w:ascii="Times New Roman" w:eastAsia="宋体" w:hAnsi="Times New Roman" w:cs="Times New Roman"/>
          <w:szCs w:val="21"/>
        </w:rPr>
      </w:pPr>
      <w:r w:rsidRPr="005C60FF">
        <w:rPr>
          <w:rFonts w:ascii="Times New Roman" w:eastAsia="宋体" w:hAnsi="Times New Roman" w:cs="Times New Roman"/>
          <w:sz w:val="24"/>
          <w:szCs w:val="21"/>
        </w:rPr>
        <w:t>For classification models, the area under the receiver operating characteristic (ROC) curve (AUC-ROC), Accuracy</w:t>
      </w:r>
      <w:r w:rsidRPr="004C52D9">
        <w:rPr>
          <w:rFonts w:ascii="Times New Roman" w:eastAsia="宋体" w:hAnsi="Times New Roman" w:cs="Times New Roman"/>
          <w:sz w:val="24"/>
          <w:szCs w:val="21"/>
        </w:rPr>
        <w:t xml:space="preserve"> </w:t>
      </w:r>
      <w:r w:rsidRPr="005C60FF">
        <w:rPr>
          <w:rFonts w:ascii="Times New Roman" w:eastAsia="宋体" w:hAnsi="Times New Roman" w:cs="Times New Roman"/>
          <w:sz w:val="24"/>
          <w:szCs w:val="21"/>
        </w:rPr>
        <w:t>(ACC), balanced accuracy (BACC), precision (PR), recall (RE), specificity (SP), F1 score</w:t>
      </w:r>
      <w:r>
        <w:rPr>
          <w:rFonts w:ascii="Times New Roman" w:eastAsia="宋体" w:hAnsi="Times New Roman" w:cs="Times New Roman"/>
          <w:sz w:val="24"/>
          <w:szCs w:val="21"/>
        </w:rPr>
        <w:t xml:space="preserve"> (F1)</w:t>
      </w:r>
      <w:r w:rsidRPr="005C60FF">
        <w:rPr>
          <w:rFonts w:ascii="Times New Roman" w:eastAsia="宋体" w:hAnsi="Times New Roman" w:cs="Times New Roman"/>
          <w:sz w:val="24"/>
          <w:szCs w:val="21"/>
        </w:rPr>
        <w:t xml:space="preserve">, and Matthews’s correlation coefficient (MCC) were used to </w:t>
      </w:r>
      <w:r w:rsidRPr="004C52D9">
        <w:rPr>
          <w:rFonts w:ascii="Times New Roman" w:eastAsia="宋体" w:hAnsi="Times New Roman" w:cs="Times New Roman"/>
          <w:sz w:val="24"/>
          <w:szCs w:val="21"/>
        </w:rPr>
        <w:t>access</w:t>
      </w:r>
      <w:r w:rsidRPr="005C60FF">
        <w:rPr>
          <w:rFonts w:ascii="Times New Roman" w:eastAsia="宋体" w:hAnsi="Times New Roman" w:cs="Times New Roman"/>
          <w:sz w:val="24"/>
          <w:szCs w:val="21"/>
        </w:rPr>
        <w:t xml:space="preserve"> model </w:t>
      </w:r>
      <w:r w:rsidRPr="004C52D9">
        <w:rPr>
          <w:rFonts w:ascii="Times New Roman" w:eastAsia="宋体" w:hAnsi="Times New Roman" w:cs="Times New Roman"/>
          <w:sz w:val="24"/>
          <w:szCs w:val="21"/>
        </w:rPr>
        <w:t>ability</w:t>
      </w:r>
      <w:r w:rsidRPr="005C60FF">
        <w:rPr>
          <w:rFonts w:ascii="Times New Roman" w:eastAsia="宋体" w:hAnsi="Times New Roman" w:cs="Times New Roman"/>
          <w:sz w:val="24"/>
          <w:szCs w:val="21"/>
        </w:rPr>
        <w:t xml:space="preserve">. For the regression model, Root </w:t>
      </w:r>
      <w:proofErr w:type="gramStart"/>
      <w:r w:rsidRPr="005C60FF">
        <w:rPr>
          <w:rFonts w:ascii="Times New Roman" w:eastAsia="宋体" w:hAnsi="Times New Roman" w:cs="Times New Roman"/>
          <w:sz w:val="24"/>
          <w:szCs w:val="21"/>
        </w:rPr>
        <w:t>mean</w:t>
      </w:r>
      <w:proofErr w:type="gramEnd"/>
      <w:r w:rsidRPr="005C60FF">
        <w:rPr>
          <w:rFonts w:ascii="Times New Roman" w:eastAsia="宋体" w:hAnsi="Times New Roman" w:cs="Times New Roman"/>
          <w:sz w:val="24"/>
          <w:szCs w:val="21"/>
        </w:rPr>
        <w:t xml:space="preserve"> square error (RMSE), Pearson correlation coefficient (R) and R square (R</w:t>
      </w:r>
      <w:r w:rsidRPr="005C60FF">
        <w:rPr>
          <w:rFonts w:ascii="Times New Roman" w:eastAsia="宋体" w:hAnsi="Times New Roman" w:cs="Times New Roman"/>
          <w:sz w:val="24"/>
          <w:szCs w:val="21"/>
          <w:vertAlign w:val="superscript"/>
        </w:rPr>
        <w:t>2</w:t>
      </w:r>
      <w:r w:rsidRPr="005C60FF">
        <w:rPr>
          <w:rFonts w:ascii="Times New Roman" w:eastAsia="宋体" w:hAnsi="Times New Roman" w:cs="Times New Roman"/>
          <w:sz w:val="24"/>
          <w:szCs w:val="21"/>
        </w:rPr>
        <w:t xml:space="preserve">) were calculated to evaluate model performance. All metrics were calculated by </w:t>
      </w:r>
      <w:r w:rsidRPr="004C52D9">
        <w:rPr>
          <w:rFonts w:ascii="Times New Roman" w:eastAsia="宋体" w:hAnsi="Times New Roman" w:cs="Times New Roman"/>
          <w:sz w:val="24"/>
          <w:szCs w:val="21"/>
        </w:rPr>
        <w:t>S</w:t>
      </w:r>
      <w:r w:rsidRPr="005C60FF">
        <w:rPr>
          <w:rFonts w:ascii="Times New Roman" w:eastAsia="宋体" w:hAnsi="Times New Roman" w:cs="Times New Roman"/>
          <w:sz w:val="24"/>
          <w:szCs w:val="21"/>
        </w:rPr>
        <w:t>cikit-learn</w:t>
      </w:r>
      <w:r>
        <w:rPr>
          <w:rFonts w:ascii="Times New Roman" w:eastAsia="宋体" w:hAnsi="Times New Roman" w:cs="Times New Roman"/>
          <w:sz w:val="24"/>
          <w:szCs w:val="21"/>
        </w:rPr>
        <w:t xml:space="preserve"> (</w:t>
      </w:r>
      <w:r w:rsidRPr="004C52D9">
        <w:rPr>
          <w:rFonts w:ascii="Times New Roman" w:eastAsia="宋体" w:hAnsi="Times New Roman" w:cs="Times New Roman"/>
          <w:sz w:val="24"/>
          <w:szCs w:val="21"/>
        </w:rPr>
        <w:t>V</w:t>
      </w:r>
      <w:r w:rsidRPr="005C60FF">
        <w:rPr>
          <w:rFonts w:ascii="Times New Roman" w:eastAsia="宋体" w:hAnsi="Times New Roman" w:cs="Times New Roman"/>
          <w:sz w:val="24"/>
          <w:szCs w:val="21"/>
        </w:rPr>
        <w:t>ersion 1.0.2</w:t>
      </w:r>
      <w:r>
        <w:rPr>
          <w:rFonts w:ascii="Times New Roman" w:eastAsia="宋体" w:hAnsi="Times New Roman" w:cs="Times New Roman"/>
          <w:sz w:val="24"/>
          <w:szCs w:val="21"/>
        </w:rPr>
        <w:t>)</w:t>
      </w:r>
      <w:r w:rsidRPr="005C60FF">
        <w:rPr>
          <w:rFonts w:ascii="Times New Roman" w:eastAsia="宋体" w:hAnsi="Times New Roman" w:cs="Times New Roman"/>
          <w:sz w:val="24"/>
          <w:szCs w:val="21"/>
        </w:rPr>
        <w:t xml:space="preserve">. </w:t>
      </w:r>
    </w:p>
    <w:p w14:paraId="3AD2A268" w14:textId="77777777" w:rsidR="0020202E" w:rsidRPr="005C60FF" w:rsidRDefault="0020202E" w:rsidP="007829B5">
      <w:pPr>
        <w:pStyle w:val="af0"/>
        <w:spacing w:line="276" w:lineRule="auto"/>
        <w:ind w:firstLineChars="0" w:firstLine="0"/>
        <w:outlineLvl w:val="1"/>
        <w:rPr>
          <w:rFonts w:eastAsia="宋体"/>
          <w:bCs/>
          <w:sz w:val="30"/>
          <w:szCs w:val="30"/>
        </w:rPr>
      </w:pPr>
      <w:r w:rsidRPr="005C60FF">
        <w:rPr>
          <w:rFonts w:ascii="Times New Roman" w:eastAsia="宋体" w:hAnsi="Times New Roman" w:cs="Times New Roman"/>
          <w:bCs/>
          <w:sz w:val="30"/>
          <w:szCs w:val="30"/>
        </w:rPr>
        <w:t>2.4 CYP3A4 inhibition activity assay</w:t>
      </w:r>
    </w:p>
    <w:p w14:paraId="3DAD5529" w14:textId="591D3671" w:rsidR="0020202E" w:rsidRPr="005C60FF" w:rsidRDefault="0020202E" w:rsidP="0020202E">
      <w:pPr>
        <w:pStyle w:val="af0"/>
        <w:spacing w:beforeLines="50" w:before="156" w:afterLines="50" w:after="156" w:line="276" w:lineRule="auto"/>
        <w:ind w:firstLineChars="100" w:firstLine="240"/>
        <w:rPr>
          <w:rFonts w:ascii="Times New Roman" w:hAnsi="Times New Roman" w:cs="Times New Roman"/>
        </w:rPr>
      </w:pPr>
      <w:r w:rsidRPr="005C60FF">
        <w:rPr>
          <w:rFonts w:ascii="Times New Roman" w:eastAsia="宋体" w:hAnsi="Times New Roman" w:cs="Times New Roman"/>
          <w:sz w:val="24"/>
          <w:szCs w:val="21"/>
        </w:rPr>
        <w:t>The procedure and details of CYP3A4 inhibition assays were followed as described in Zhang et al.'s work</w:t>
      </w:r>
      <w:r w:rsidR="009C1C07" w:rsidRPr="005C60FF">
        <w:rPr>
          <w:rFonts w:ascii="Times New Roman" w:eastAsia="宋体" w:hAnsi="Times New Roman" w:cs="Times New Roman"/>
          <w:sz w:val="24"/>
          <w:szCs w:val="21"/>
        </w:rPr>
        <w:t>.</w:t>
      </w:r>
      <w:r w:rsidR="00574BE3">
        <w:rPr>
          <w:rFonts w:ascii="Times New Roman" w:eastAsia="宋体" w:hAnsi="Times New Roman" w:cs="Times New Roman"/>
          <w:sz w:val="24"/>
          <w:szCs w:val="21"/>
        </w:rPr>
        <w:fldChar w:fldCharType="begin"/>
      </w:r>
      <w:r w:rsidR="009C1C07">
        <w:rPr>
          <w:rFonts w:ascii="Times New Roman" w:eastAsia="宋体" w:hAnsi="Times New Roman" w:cs="Times New Roman"/>
          <w:sz w:val="24"/>
          <w:szCs w:val="21"/>
        </w:rPr>
        <w:instrText xml:space="preserve"> ADDIN ZOTERO_ITEM CSL_CITATION {"citationID":"us4x7ZtS","properties":{"formattedCitation":"\\super 52\\nosupersub{}","plainCitation":"52","noteIndex":0},"citationItems":[{"id":2317,"uris":["http://zotero.org/users/9157699/items/Z2MUJ5PA"],"itemData":{"id":2317,"type":"article-journal","container-title":"Acta Pharmacologica Sinica","DOI":"10.1038/s41401-021-00697-2","ISSN":"1671-4083, 1745-7254","issue":"4","journalAbbreviation":"Acta Pharmacol Sin","language":"en","page":"1072-1081","source":"DOI.org (Crossref)","title":"Inhibition of drug-metabolizing enzymes by Jingyin granules: implications of herb–drug interactions in antiviral therapy","title-short":"Inhibition of drug-metabolizing enzymes by Jingyin granules","volume":"43","author":[{"family":"Zhang","given":"Feng"},{"family":"Liu","given":"Wei"},{"family":"Huang","given":"Jian"},{"family":"Chen","given":"Qi-long"},{"family":"Wang","given":"Dan-dan"},{"family":"Zou","given":"Li-wei"},{"family":"Zhao","given":"Yong-fang"},{"family":"Zhang","given":"Wei-dong"},{"family":"Xu","given":"Jian-guang"},{"family":"Chen","given":"Hong-zhuan"},{"family":"Ge","given":"Guang-bo"}],"issued":{"date-parts":[["2022",4]]}}}],"schema":"https://github.com/citation-style-language/schema/raw/master/csl-citation.json"} </w:instrText>
      </w:r>
      <w:r w:rsidR="00574BE3">
        <w:rPr>
          <w:rFonts w:ascii="Times New Roman" w:eastAsia="宋体" w:hAnsi="Times New Roman" w:cs="Times New Roman"/>
          <w:sz w:val="24"/>
          <w:szCs w:val="21"/>
        </w:rPr>
        <w:fldChar w:fldCharType="separate"/>
      </w:r>
      <w:r w:rsidR="009C1C07" w:rsidRPr="009C1C07">
        <w:rPr>
          <w:rFonts w:ascii="Times New Roman" w:hAnsi="Times New Roman" w:cs="Times New Roman"/>
          <w:kern w:val="0"/>
          <w:sz w:val="24"/>
          <w:szCs w:val="24"/>
          <w:vertAlign w:val="superscript"/>
        </w:rPr>
        <w:t>52</w:t>
      </w:r>
      <w:r w:rsidR="00574BE3">
        <w:rPr>
          <w:rFonts w:ascii="Times New Roman" w:eastAsia="宋体" w:hAnsi="Times New Roman" w:cs="Times New Roman"/>
          <w:sz w:val="24"/>
          <w:szCs w:val="21"/>
        </w:rPr>
        <w:fldChar w:fldCharType="end"/>
      </w:r>
      <w:r w:rsidRPr="005C60FF">
        <w:rPr>
          <w:rFonts w:ascii="Times New Roman" w:eastAsia="宋体" w:hAnsi="Times New Roman" w:cs="Times New Roman"/>
          <w:sz w:val="24"/>
          <w:szCs w:val="21"/>
        </w:rPr>
        <w:t xml:space="preserve"> In short, a highly specific CYP3A4 substrate, N-ethyl-1,8-naphthalimide,</w:t>
      </w:r>
      <w:r w:rsidR="00FE40DA">
        <w:rPr>
          <w:rFonts w:ascii="Times New Roman" w:eastAsia="宋体" w:hAnsi="Times New Roman" w:cs="Times New Roman"/>
          <w:sz w:val="24"/>
          <w:szCs w:val="21"/>
        </w:rPr>
        <w:fldChar w:fldCharType="begin"/>
      </w:r>
      <w:r w:rsidR="00FE40DA">
        <w:rPr>
          <w:rFonts w:ascii="Times New Roman" w:eastAsia="宋体" w:hAnsi="Times New Roman" w:cs="Times New Roman"/>
          <w:sz w:val="24"/>
          <w:szCs w:val="21"/>
        </w:rPr>
        <w:instrText xml:space="preserve"> ADDIN ZOTERO_ITEM CSL_CITATION {"citationID":"TLb3UFh2","properties":{"formattedCitation":"\\super 53\\nosupersub{}","plainCitation":"53","noteIndex":0},"citationItems":[{"id":2435,"uris":["http://zotero.org/users/9157699/items/N3D7PKJF"],"itemData":{"id":2435,"type":"article-journal","abstract":"Nowadays, the rapid development of fluorescent probe for monitoring target enzyme is still a great challenge, due to the lack of efficient way to optimize a specific fluorophore. Herein, a practical two-dimension molecular strategy was designed to construct an isoform-specific probe for CYP3A4, a key cytochrome P450 isoform responsible for oxidize most of clinical drugs. In first dimension of the molecular design, using ensemble-based virtual screening, the potential two-photon fluorophore substrate (NN) for CYP3A4 was effectively filtered. For second dimension by chemical modification, various substituent groups were introduced to candidate NN for optimizing the isoform-selectivity and reactivity. Finally, with ideal selectivity and sensitivity, NEN was successfully applied to real-time detect CYP3A4 in living cells and zebrafish, thereby providing an efficient tool for quantitative tracking of CYP3A4 activity in complex biological systems. These findings suggested that our strategy is practical to develop an isoform-specific probe for a target enzyme.","container-title":"Angewandte Chemie International Edition","DOI":"10.1002/anie.201903683","ISSN":"1433-7851, 1521-3773","issue":"29","journalAbbreviation":"Ang</w:instrText>
      </w:r>
      <w:r w:rsidR="00FE40DA">
        <w:rPr>
          <w:rFonts w:ascii="Times New Roman" w:eastAsia="宋体" w:hAnsi="Times New Roman" w:cs="Times New Roman" w:hint="eastAsia"/>
          <w:sz w:val="24"/>
          <w:szCs w:val="21"/>
        </w:rPr>
        <w:instrText>ew. Chem. Int. Ed.","language":"en","page":"9959-9963","source":"DOI.org (Crossref)","title":"Target Enzyme</w:instrText>
      </w:r>
      <w:r w:rsidR="00FE40DA">
        <w:rPr>
          <w:rFonts w:ascii="Times New Roman" w:eastAsia="宋体" w:hAnsi="Times New Roman" w:cs="Times New Roman" w:hint="eastAsia"/>
          <w:sz w:val="24"/>
          <w:szCs w:val="21"/>
        </w:rPr>
        <w:instrText>‐</w:instrText>
      </w:r>
      <w:r w:rsidR="00FE40DA">
        <w:rPr>
          <w:rFonts w:ascii="Times New Roman" w:eastAsia="宋体" w:hAnsi="Times New Roman" w:cs="Times New Roman" w:hint="eastAsia"/>
          <w:sz w:val="24"/>
          <w:szCs w:val="21"/>
        </w:rPr>
        <w:instrText>Activated Two</w:instrText>
      </w:r>
      <w:r w:rsidR="00FE40DA">
        <w:rPr>
          <w:rFonts w:ascii="Times New Roman" w:eastAsia="宋体" w:hAnsi="Times New Roman" w:cs="Times New Roman" w:hint="eastAsia"/>
          <w:sz w:val="24"/>
          <w:szCs w:val="21"/>
        </w:rPr>
        <w:instrText>‐</w:instrText>
      </w:r>
      <w:r w:rsidR="00FE40DA">
        <w:rPr>
          <w:rFonts w:ascii="Times New Roman" w:eastAsia="宋体" w:hAnsi="Times New Roman" w:cs="Times New Roman" w:hint="eastAsia"/>
          <w:sz w:val="24"/>
          <w:szCs w:val="21"/>
        </w:rPr>
        <w:instrText>Photon Fluorescent Probes: A Case Study of CYP3A4 Using a Two</w:instrText>
      </w:r>
      <w:r w:rsidR="00FE40DA">
        <w:rPr>
          <w:rFonts w:ascii="Times New Roman" w:eastAsia="宋体" w:hAnsi="Times New Roman" w:cs="Times New Roman" w:hint="eastAsia"/>
          <w:sz w:val="24"/>
          <w:szCs w:val="21"/>
        </w:rPr>
        <w:instrText>‐</w:instrText>
      </w:r>
      <w:r w:rsidR="00FE40DA">
        <w:rPr>
          <w:rFonts w:ascii="Times New Roman" w:eastAsia="宋体" w:hAnsi="Times New Roman" w:cs="Times New Roman" w:hint="eastAsia"/>
          <w:sz w:val="24"/>
          <w:szCs w:val="21"/>
        </w:rPr>
        <w:instrText>Dimensional Design Strategy","title-short":"Target Enzyme</w:instrText>
      </w:r>
      <w:r w:rsidR="00FE40DA">
        <w:rPr>
          <w:rFonts w:ascii="Times New Roman" w:eastAsia="宋体" w:hAnsi="Times New Roman" w:cs="Times New Roman" w:hint="eastAsia"/>
          <w:sz w:val="24"/>
          <w:szCs w:val="21"/>
        </w:rPr>
        <w:instrText>‐</w:instrText>
      </w:r>
      <w:r w:rsidR="00FE40DA">
        <w:rPr>
          <w:rFonts w:ascii="Times New Roman" w:eastAsia="宋体" w:hAnsi="Times New Roman" w:cs="Times New Roman" w:hint="eastAsia"/>
          <w:sz w:val="24"/>
          <w:szCs w:val="21"/>
        </w:rPr>
        <w:instrText>Activated Two</w:instrText>
      </w:r>
      <w:r w:rsidR="00FE40DA">
        <w:rPr>
          <w:rFonts w:ascii="Times New Roman" w:eastAsia="宋体" w:hAnsi="Times New Roman" w:cs="Times New Roman" w:hint="eastAsia"/>
          <w:sz w:val="24"/>
          <w:szCs w:val="21"/>
        </w:rPr>
        <w:instrText>‐</w:instrText>
      </w:r>
      <w:r w:rsidR="00FE40DA">
        <w:rPr>
          <w:rFonts w:ascii="Times New Roman" w:eastAsia="宋体" w:hAnsi="Times New Roman" w:cs="Times New Roman" w:hint="eastAsia"/>
          <w:sz w:val="24"/>
          <w:szCs w:val="21"/>
        </w:rPr>
        <w:instrText>Photon Fluorescent Probes","volume":"58","author":[{"family":"Ning","given":"Jing"},{"family":"Wang","given":"Wei"},{"family":"Ge","given":"Guangbo"},{"family":"Chu","given":"Peng"},{"family":"Long","given":"Feida"},{"family":"Yang","given":"Yongliang"},</w:instrText>
      </w:r>
      <w:r w:rsidR="00FE40DA">
        <w:rPr>
          <w:rFonts w:ascii="Times New Roman" w:eastAsia="宋体" w:hAnsi="Times New Roman" w:cs="Times New Roman"/>
          <w:sz w:val="24"/>
          <w:szCs w:val="21"/>
        </w:rPr>
        <w:instrText xml:space="preserve">{"family":"Peng","given":"Yulin"},{"family":"Feng","given":"Lei"},{"family":"Ma","given":"Xiaochi"},{"family":"James","given":"Tony D."}],"issued":{"date-parts":[["2019",7,15]]}}}],"schema":"https://github.com/citation-style-language/schema/raw/master/csl-citation.json"} </w:instrText>
      </w:r>
      <w:r w:rsidR="00FE40DA">
        <w:rPr>
          <w:rFonts w:ascii="Times New Roman" w:eastAsia="宋体" w:hAnsi="Times New Roman" w:cs="Times New Roman"/>
          <w:sz w:val="24"/>
          <w:szCs w:val="21"/>
        </w:rPr>
        <w:fldChar w:fldCharType="separate"/>
      </w:r>
      <w:r w:rsidR="00FE40DA" w:rsidRPr="00FE40DA">
        <w:rPr>
          <w:rFonts w:ascii="Times New Roman" w:hAnsi="Times New Roman" w:cs="Times New Roman"/>
          <w:kern w:val="0"/>
          <w:sz w:val="24"/>
          <w:szCs w:val="24"/>
          <w:vertAlign w:val="superscript"/>
        </w:rPr>
        <w:t>53</w:t>
      </w:r>
      <w:r w:rsidR="00FE40DA">
        <w:rPr>
          <w:rFonts w:ascii="Times New Roman" w:eastAsia="宋体" w:hAnsi="Times New Roman" w:cs="Times New Roman"/>
          <w:sz w:val="24"/>
          <w:szCs w:val="21"/>
        </w:rPr>
        <w:fldChar w:fldCharType="end"/>
      </w:r>
      <w:r w:rsidRPr="005C60FF">
        <w:rPr>
          <w:rFonts w:ascii="Times New Roman" w:eastAsia="宋体" w:hAnsi="Times New Roman" w:cs="Times New Roman"/>
          <w:sz w:val="24"/>
          <w:szCs w:val="21"/>
        </w:rPr>
        <w:t xml:space="preserve"> was employed to evaluate the residual activities of CYP3A4 in the presence of test compounds.</w:t>
      </w:r>
      <w:r>
        <w:rPr>
          <w:rFonts w:ascii="Times New Roman" w:eastAsia="宋体" w:hAnsi="Times New Roman" w:cs="Times New Roman"/>
          <w:sz w:val="24"/>
          <w:szCs w:val="21"/>
        </w:rPr>
        <w:t xml:space="preserve"> </w:t>
      </w:r>
      <w:r w:rsidRPr="005C60FF">
        <w:rPr>
          <w:rFonts w:ascii="Times New Roman" w:eastAsia="宋体" w:hAnsi="Times New Roman" w:cs="Times New Roman"/>
          <w:sz w:val="24"/>
          <w:szCs w:val="21"/>
        </w:rPr>
        <w:t>Ketoconazole served as the positive control, while acetonitrile was used as the blank control. All measurements were performed in triplicate. IC</w:t>
      </w:r>
      <w:r w:rsidRPr="005C60FF">
        <w:rPr>
          <w:rFonts w:ascii="Times New Roman" w:eastAsia="宋体" w:hAnsi="Times New Roman" w:cs="Times New Roman"/>
          <w:sz w:val="24"/>
          <w:szCs w:val="21"/>
          <w:vertAlign w:val="subscript"/>
        </w:rPr>
        <w:t>50</w:t>
      </w:r>
      <w:r w:rsidRPr="005C60FF">
        <w:rPr>
          <w:rFonts w:ascii="Times New Roman" w:eastAsia="宋体" w:hAnsi="Times New Roman" w:cs="Times New Roman"/>
          <w:sz w:val="24"/>
          <w:szCs w:val="21"/>
        </w:rPr>
        <w:t xml:space="preserve"> values were calculated using nonlinear regression analysis with Prism version 8.3.0 (GraphPad Software, CA, USA).</w:t>
      </w:r>
    </w:p>
    <w:p w14:paraId="3DA8D685" w14:textId="77777777" w:rsidR="0020202E" w:rsidRPr="005C60FF" w:rsidRDefault="0020202E" w:rsidP="007829B5">
      <w:pPr>
        <w:pStyle w:val="af0"/>
        <w:spacing w:line="276" w:lineRule="auto"/>
        <w:ind w:firstLineChars="0" w:firstLine="0"/>
        <w:outlineLvl w:val="1"/>
        <w:rPr>
          <w:rFonts w:eastAsia="宋体"/>
          <w:bCs/>
          <w:sz w:val="30"/>
          <w:szCs w:val="30"/>
        </w:rPr>
      </w:pPr>
      <w:r w:rsidRPr="005C60FF">
        <w:rPr>
          <w:rFonts w:ascii="Times New Roman" w:eastAsia="宋体" w:hAnsi="Times New Roman" w:cs="Times New Roman"/>
          <w:bCs/>
          <w:sz w:val="30"/>
          <w:szCs w:val="30"/>
        </w:rPr>
        <w:t>2.5 Molecular Docking</w:t>
      </w:r>
    </w:p>
    <w:p w14:paraId="113A70E1" w14:textId="6FB92409" w:rsidR="00D3024A" w:rsidRDefault="0020202E" w:rsidP="0020202E">
      <w:pPr>
        <w:pStyle w:val="af0"/>
        <w:spacing w:beforeLines="50" w:before="156" w:afterLines="50" w:after="156" w:line="276" w:lineRule="auto"/>
        <w:ind w:firstLineChars="100" w:firstLine="240"/>
        <w:rPr>
          <w:rFonts w:ascii="Times New Roman" w:eastAsia="宋体" w:hAnsi="Times New Roman" w:cs="Times New Roman"/>
          <w:sz w:val="24"/>
          <w:szCs w:val="21"/>
        </w:rPr>
      </w:pPr>
      <w:proofErr w:type="spellStart"/>
      <w:r w:rsidRPr="005C60FF">
        <w:rPr>
          <w:rFonts w:ascii="Times New Roman" w:eastAsia="宋体" w:hAnsi="Times New Roman" w:cs="Times New Roman"/>
          <w:sz w:val="24"/>
          <w:szCs w:val="21"/>
        </w:rPr>
        <w:t>AutoDock</w:t>
      </w:r>
      <w:proofErr w:type="spellEnd"/>
      <w:r w:rsidRPr="005C60FF">
        <w:rPr>
          <w:rFonts w:ascii="Times New Roman" w:eastAsia="宋体" w:hAnsi="Times New Roman" w:cs="Times New Roman"/>
          <w:sz w:val="24"/>
          <w:szCs w:val="21"/>
        </w:rPr>
        <w:t xml:space="preserve"> Vina (Version 1.1.2) was used to perform docking between ligands and CYP3A4. The ligand was initially provided in SMILES format and underwent 3D molecular conformation optimization using the Python </w:t>
      </w:r>
      <w:proofErr w:type="spellStart"/>
      <w:r w:rsidRPr="005C60FF">
        <w:rPr>
          <w:rFonts w:ascii="Times New Roman" w:eastAsia="宋体" w:hAnsi="Times New Roman" w:cs="Times New Roman"/>
          <w:sz w:val="24"/>
          <w:szCs w:val="21"/>
        </w:rPr>
        <w:t>RDKit</w:t>
      </w:r>
      <w:proofErr w:type="spellEnd"/>
      <w:r w:rsidRPr="005C60FF">
        <w:rPr>
          <w:rFonts w:ascii="Times New Roman" w:eastAsia="宋体" w:hAnsi="Times New Roman" w:cs="Times New Roman"/>
          <w:sz w:val="24"/>
          <w:szCs w:val="21"/>
        </w:rPr>
        <w:t xml:space="preserve"> toolkit. Subsequently, it was converted to PDBQT format using Open Babel</w:t>
      </w:r>
      <w:r w:rsidRPr="004C52D9">
        <w:rPr>
          <w:rFonts w:ascii="Times New Roman" w:eastAsia="宋体" w:hAnsi="Times New Roman" w:cs="Times New Roman"/>
          <w:sz w:val="24"/>
          <w:szCs w:val="21"/>
        </w:rPr>
        <w:t xml:space="preserve"> (</w:t>
      </w:r>
      <w:r w:rsidRPr="005C60FF">
        <w:rPr>
          <w:rFonts w:ascii="Times New Roman" w:eastAsia="宋体" w:hAnsi="Times New Roman" w:cs="Times New Roman"/>
          <w:sz w:val="24"/>
          <w:szCs w:val="21"/>
        </w:rPr>
        <w:t>Version 3.1.1</w:t>
      </w:r>
      <w:r w:rsidRPr="004C52D9">
        <w:rPr>
          <w:rFonts w:ascii="Times New Roman" w:eastAsia="宋体" w:hAnsi="Times New Roman" w:cs="Times New Roman"/>
          <w:sz w:val="24"/>
          <w:szCs w:val="21"/>
        </w:rPr>
        <w:t>)</w:t>
      </w:r>
      <w:r w:rsidRPr="005C60FF">
        <w:rPr>
          <w:rFonts w:ascii="Times New Roman" w:eastAsia="宋体" w:hAnsi="Times New Roman" w:cs="Times New Roman"/>
          <w:sz w:val="24"/>
          <w:szCs w:val="21"/>
        </w:rPr>
        <w:t xml:space="preserve">. The protein structure of CYP3A4 was retrieved from RCSB Protein Data Bank (PDB) (PDB ID: 3NXU) and underwent several </w:t>
      </w:r>
      <w:proofErr w:type="gramStart"/>
      <w:r w:rsidRPr="005C60FF">
        <w:rPr>
          <w:rFonts w:ascii="Times New Roman" w:eastAsia="宋体" w:hAnsi="Times New Roman" w:cs="Times New Roman"/>
          <w:sz w:val="24"/>
          <w:szCs w:val="21"/>
        </w:rPr>
        <w:t>structure</w:t>
      </w:r>
      <w:proofErr w:type="gramEnd"/>
      <w:r w:rsidRPr="005C60FF">
        <w:rPr>
          <w:rFonts w:ascii="Times New Roman" w:eastAsia="宋体" w:hAnsi="Times New Roman" w:cs="Times New Roman"/>
          <w:sz w:val="24"/>
          <w:szCs w:val="21"/>
        </w:rPr>
        <w:t xml:space="preserve"> processing steps,</w:t>
      </w:r>
      <w:r w:rsidRPr="005C60FF">
        <w:rPr>
          <w:rFonts w:ascii="Times New Roman" w:hAnsi="Times New Roman" w:cs="Times New Roman"/>
          <w:sz w:val="24"/>
        </w:rPr>
        <w:t xml:space="preserve"> </w:t>
      </w:r>
      <w:r w:rsidRPr="005C60FF">
        <w:rPr>
          <w:rFonts w:ascii="Times New Roman" w:eastAsia="宋体" w:hAnsi="Times New Roman" w:cs="Times New Roman"/>
          <w:sz w:val="24"/>
          <w:szCs w:val="21"/>
        </w:rPr>
        <w:t xml:space="preserve">including the removal of water molecules, </w:t>
      </w:r>
      <w:r w:rsidR="00953647">
        <w:rPr>
          <w:rFonts w:ascii="Times New Roman" w:eastAsia="宋体" w:hAnsi="Times New Roman" w:cs="Times New Roman"/>
          <w:sz w:val="24"/>
          <w:szCs w:val="21"/>
        </w:rPr>
        <w:t xml:space="preserve">the </w:t>
      </w:r>
      <w:r w:rsidRPr="005C60FF">
        <w:rPr>
          <w:rFonts w:ascii="Times New Roman" w:eastAsia="宋体" w:hAnsi="Times New Roman" w:cs="Times New Roman"/>
          <w:sz w:val="24"/>
          <w:szCs w:val="21"/>
        </w:rPr>
        <w:t xml:space="preserve">addition of hydrogen atoms, and application of Kollman charges. The grid box covering the entire active site pocket was chosen. Only the lowest docking score (the best one) was used for subsequent analysis. The docking results of the ligand and CYP3A4 were analyzed and visualized using Discovery Studio Visualizer (BIOVIA Discovery Studio 2019, Dassault </w:t>
      </w:r>
      <w:proofErr w:type="spellStart"/>
      <w:r w:rsidRPr="005C60FF">
        <w:rPr>
          <w:rFonts w:ascii="Times New Roman" w:eastAsia="宋体" w:hAnsi="Times New Roman" w:cs="Times New Roman"/>
          <w:sz w:val="24"/>
          <w:szCs w:val="21"/>
        </w:rPr>
        <w:t>Systèmes</w:t>
      </w:r>
      <w:proofErr w:type="spellEnd"/>
      <w:r w:rsidRPr="005C60FF">
        <w:rPr>
          <w:rFonts w:ascii="Times New Roman" w:eastAsia="宋体" w:hAnsi="Times New Roman" w:cs="Times New Roman"/>
          <w:sz w:val="24"/>
          <w:szCs w:val="21"/>
        </w:rPr>
        <w:t>, SanDiego, USA).</w:t>
      </w:r>
    </w:p>
    <w:p w14:paraId="0D0D630D" w14:textId="7A543970" w:rsidR="0020202E" w:rsidRPr="00D3024A" w:rsidRDefault="00D3024A" w:rsidP="00D3024A">
      <w:pPr>
        <w:widowControl/>
        <w:jc w:val="left"/>
        <w:rPr>
          <w:rFonts w:ascii="Times New Roman" w:eastAsia="宋体" w:hAnsi="Times New Roman" w:cs="Times New Roman"/>
          <w:sz w:val="24"/>
          <w:szCs w:val="21"/>
        </w:rPr>
      </w:pPr>
      <w:r>
        <w:rPr>
          <w:rFonts w:ascii="Times New Roman" w:eastAsia="宋体" w:hAnsi="Times New Roman" w:cs="Times New Roman"/>
          <w:sz w:val="24"/>
          <w:szCs w:val="21"/>
        </w:rPr>
        <w:br w:type="page"/>
      </w:r>
    </w:p>
    <w:p w14:paraId="0A0922EF" w14:textId="77777777" w:rsidR="0020202E" w:rsidRPr="004C52D9" w:rsidRDefault="0020202E" w:rsidP="0020202E">
      <w:pPr>
        <w:pStyle w:val="1"/>
        <w:spacing w:beforeLines="50" w:before="156" w:afterLines="50" w:after="156" w:line="240" w:lineRule="auto"/>
        <w:rPr>
          <w:rFonts w:ascii="Times New Roman" w:hAnsi="Times New Roman" w:cs="Times New Roman"/>
          <w:sz w:val="36"/>
          <w:szCs w:val="36"/>
        </w:rPr>
      </w:pPr>
      <w:r w:rsidRPr="004C52D9">
        <w:rPr>
          <w:rFonts w:ascii="Times New Roman" w:hAnsi="Times New Roman" w:cs="Times New Roman"/>
          <w:sz w:val="36"/>
          <w:szCs w:val="36"/>
        </w:rPr>
        <w:lastRenderedPageBreak/>
        <w:t>3. RESULTS AND DISCUSSIONS</w:t>
      </w:r>
    </w:p>
    <w:p w14:paraId="1B8DF156" w14:textId="4D298F6B" w:rsidR="0020202E" w:rsidRPr="004C52D9" w:rsidRDefault="0020202E" w:rsidP="0020202E">
      <w:pPr>
        <w:pStyle w:val="af0"/>
        <w:spacing w:beforeLines="50" w:before="156" w:afterLines="50" w:after="156" w:line="276" w:lineRule="auto"/>
        <w:ind w:firstLineChars="100" w:firstLine="240"/>
        <w:rPr>
          <w:rFonts w:ascii="Times New Roman" w:hAnsi="Times New Roman" w:cs="Times New Roman"/>
          <w:sz w:val="24"/>
          <w:szCs w:val="24"/>
        </w:rPr>
      </w:pPr>
      <w:r w:rsidRPr="005C60FF">
        <w:rPr>
          <w:rFonts w:ascii="Times New Roman" w:hAnsi="Times New Roman" w:cs="Times New Roman"/>
          <w:sz w:val="24"/>
          <w:szCs w:val="24"/>
        </w:rPr>
        <w:t>Accurate prediction of CYP3A4 inhibitory activity is crucial in experiments. Previously reported models for CYP inhibitors prediction have primarily focused on binary classification,</w:t>
      </w:r>
      <w:r w:rsidR="006F70E6">
        <w:rPr>
          <w:rFonts w:ascii="Times New Roman" w:hAnsi="Times New Roman" w:cs="Times New Roman"/>
          <w:sz w:val="24"/>
          <w:szCs w:val="24"/>
        </w:rPr>
        <w:fldChar w:fldCharType="begin"/>
      </w:r>
      <w:r w:rsidR="00F826C7">
        <w:rPr>
          <w:rFonts w:ascii="Times New Roman" w:hAnsi="Times New Roman" w:cs="Times New Roman"/>
          <w:sz w:val="24"/>
          <w:szCs w:val="24"/>
        </w:rPr>
        <w:instrText xml:space="preserve"> ADDIN ZOTERO_ITEM CSL_CITATION {"citationID":"Mm8ECoSP","properties":{"formattedCitation":"\\super 15,20,29\\nosupersub{}","plainCitation":"15,20,29","noteIndex":0},"citationItems":[{"id":132,"uris":["http://zotero.org/users/9157699/items/Y9RDNWCI"],"itemData":{"id":132,"type":"article-journal","abstract":"The vast majority of approved drugs are metabolized by the five major cytochrome P450 (CYP) isozymes, 1A2, 2C9, 2C19, 2D6 and 3A4. Inhibition of CYP isozymes can cause drug-drug interactions with severe pharmaco­ logical and toxicological consequences. Computational methods for the fast and reliable prediction of the inhi­ bition of CYP isozymes by small molecules are therefore of high interest and relevance to pharmaceutical companies and a host of other industries, including the cosmetics and agrochemical industries. Today, a large number of machine learning models for predicting the inhibition of the major CYP isozymes by small molecules are available. With this work we aim to go beyond the coverage of existing models, by combining data from several major public and proprietary sources. More specifically, we used up to 18815 compounds with measured bioactivities to train random forest classification models for the individual CYP isozymes. A major advantage of the new data collection over existing ones is the better representation of the minority class, the CYP inhibitors. With the new data collection we achieved inhibitor-to-non-inhibitor ratios in the order of 1:1 (CYP1A2) to 1:3 (CYP2D6). We show that our models reach competitive performance on external data, with Matthews correlation coefficients (MCCs) ranging from 0.62 (CYP2C19) to 0.70 (CYP2D6), and areas under the receiver operating characteristic curve (AUCs) between 0.89 (CYP2C19) and 0.92 (CYPs 2D6 and 3A4). Importantly, the models show a high level of robustness, reflected in a good predictivity also for compounds that are structurally dis­ similar to the compounds represented in the training data. The best models presented in this work are freely accessible for academic research via a web service.","container-title":"Bioorganic &amp; Medicinal Chemistry","DOI":"10.1016/j.bmc.2021.116388","ISSN":"09680896","journalAbbreviation":"Bioorganic &amp; Medicinal Chemistry","language":"en","page":"116388","source":"DOI.org (Crossref)","title":"CYPlebrity: Machine learning models for the prediction of inhibitors of cytochrome P450 enzymes","title-short":"CYPlebrity","volume":"46","author":[{"family":"Plonka","given":"Wojciech"},{"family":"Stork","given":"Conrad"},{"family":"Šícho","given":"Martin"},{"family":"Kirchmair","given":"Johannes"}],"issued":{"date-parts":[["2021",9]]}},"label":"page"},{"id":141,"uris":["http://zotero.org/users/9157699/items/FYYEJN3I"],"itemData":{"id":141,"type":"article-journal","container-title":"Molecular Pharmaceutics","DOI":"10.1021/acs.molpharmaceut.8b00110","ISSN":"1543-8384, 1543-8392","issue":"10","journalAbbreviation":"Mol. Pharmaceutics","language":"en","page":"4336-4345","source":"DOI.org (Crossref)","title":"Prediction of Human Cytochrome P450 Inhibition Using a Multitask Deep Autoencoder Neural Network","volume":"15","author":[{"family":"Li","given":"Xiang"},{"family":"Xu","given":"Youjun"},{"family":"Lai","given":"Luhua"},{"family":"Pei","given":"Jianfeng"}],"issued":{"date-parts":[["2018",10,1]]}}},{"id":117,"uris":["http://zotero.org/users/9157699/items/H74Z7YVJ"],"itemData":{"id":117,"type":"article-journal","abstract":"The human cytochrome P450 (CYP) superfamily holds responsibilities for the metabolism of both endogenous and exogenous compounds such as drugs, cellular metabolites, and toxins. The inhibition exerted on the CYP enzymes is closely associated with adverse drug reactions encompassing metabolic failures and induced side eﬀects. In modern drug discovery, identiﬁcation of potential CYP inhibitors is, therefore, highly essential. Alongside experimental approaches, numerous computational models have been proposed to address this biochemical issue. In this study, we introduce iCYP-MFE, a computational framework for virtual screening on CYP inhibitors toward 1A2, 2C9, 2C19, 2D6, and 3A4 isoforms. iCYP-MFE contains a set of ﬁve robust, stable, and eﬀective prediction models developed using multitask learning incorporated with molecular ﬁngerprint-embedded features. The results show that multitask learning can remarkably leverage useful information from related tasks to promote global performance. Comparative analysis indicates that iCYP-MFE achieves three predominant tasks, one equivalent task, and one less eﬀective task compared to state-of-the-art methods. The area under the receiver operating characteristic curve (AUC-ROC) and the area under the precision-recall curve (AUC-PR) were two decisive metrics used for model evaluation. The prediction task for CYP2D6inhibition achieves the highest AUC-ROC value of 0.93 while the prediction task for CYP1A2-inhibition obtains the highest AUCPR value of 0.92. The substructural analysis preliminarily explains the nature of the CYP-inhibitory activity of compounds. An online web server for iCYP-MFE with a user-friendly interface was also deployed to support scientiﬁc communities in identifying CYP inhibitors.","container-title":"Journal of Chemical Information and Modeling","DOI":"10.1021/acs.jcim.1c00628","ISSN":"1549-9596, 1549-960X","journalAbbreviation":"J. Chem. Inf. Model.","language":"en","page":"acs.jcim.1c00628","source":"DOI.org (Crossref)","title":"iCYP-MFE: Identifying Human Cytochrome P450 Inhibitors Using Multitask Learning and Molecular Fingerprint-Embedded Encoding","title-short":"iCYP-MFE","author":[{"family":"Nguyen-Vo","given":"Thanh-Hoang"},{"family":"Trinh","given":"Quang H."},{"family":"Nguyen","given":"Loc"},{"family":"Nguyen-Hoang","given":"Phuong-Uyen"},{"family":"Nguyen","given":"Thien-Ngan"},{"family":"Nguyen","given":"Dung T."},{"family":"Nguyen","given":"Binh P."},{"family":"Le","given":"Ly"}],"issued":{"date-parts":[["2021",10,21]]}}}],"schema":"https://github.com/citation-style-language/schema/raw/master/csl-citation.json"} </w:instrText>
      </w:r>
      <w:r w:rsidR="006F70E6">
        <w:rPr>
          <w:rFonts w:ascii="Times New Roman" w:hAnsi="Times New Roman" w:cs="Times New Roman"/>
          <w:sz w:val="24"/>
          <w:szCs w:val="24"/>
        </w:rPr>
        <w:fldChar w:fldCharType="separate"/>
      </w:r>
      <w:r w:rsidR="00F826C7" w:rsidRPr="00F826C7">
        <w:rPr>
          <w:rFonts w:ascii="Times New Roman" w:hAnsi="Times New Roman" w:cs="Times New Roman"/>
          <w:kern w:val="0"/>
          <w:sz w:val="24"/>
          <w:szCs w:val="24"/>
          <w:vertAlign w:val="superscript"/>
        </w:rPr>
        <w:t>15,20,29</w:t>
      </w:r>
      <w:r w:rsidR="006F70E6">
        <w:rPr>
          <w:rFonts w:ascii="Times New Roman" w:hAnsi="Times New Roman" w:cs="Times New Roman"/>
          <w:sz w:val="24"/>
          <w:szCs w:val="24"/>
        </w:rPr>
        <w:fldChar w:fldCharType="end"/>
      </w:r>
      <w:r w:rsidRPr="005C60FF">
        <w:rPr>
          <w:rFonts w:ascii="Times New Roman" w:hAnsi="Times New Roman" w:cs="Times New Roman"/>
          <w:sz w:val="24"/>
          <w:szCs w:val="24"/>
        </w:rPr>
        <w:t xml:space="preserve"> distinguishing between compounds with and without inhibitory activity using a threshold such as IC</w:t>
      </w:r>
      <w:r w:rsidRPr="005C60FF">
        <w:rPr>
          <w:rFonts w:ascii="Times New Roman" w:hAnsi="Times New Roman" w:cs="Times New Roman"/>
          <w:sz w:val="24"/>
          <w:szCs w:val="24"/>
          <w:vertAlign w:val="subscript"/>
        </w:rPr>
        <w:t>50</w:t>
      </w:r>
      <w:r w:rsidRPr="005C60FF">
        <w:rPr>
          <w:rFonts w:ascii="Times New Roman" w:hAnsi="Times New Roman" w:cs="Times New Roman"/>
          <w:sz w:val="24"/>
          <w:szCs w:val="24"/>
        </w:rPr>
        <w:t xml:space="preserve"> at 10 </w:t>
      </w:r>
      <w:proofErr w:type="spellStart"/>
      <w:r w:rsidRPr="005C60FF">
        <w:rPr>
          <w:rFonts w:ascii="Times New Roman" w:hAnsi="Times New Roman" w:cs="Times New Roman"/>
          <w:sz w:val="24"/>
          <w:szCs w:val="24"/>
        </w:rPr>
        <w:t>μM</w:t>
      </w:r>
      <w:proofErr w:type="spellEnd"/>
      <w:r w:rsidRPr="005C60FF">
        <w:rPr>
          <w:rFonts w:ascii="Times New Roman" w:hAnsi="Times New Roman" w:cs="Times New Roman"/>
          <w:sz w:val="24"/>
          <w:szCs w:val="24"/>
        </w:rPr>
        <w:t xml:space="preserve">. In the actual drug discovery process, it is essential to predict the inhibitory intensity and confidence level to provide better guidance for drug design. To address this issue, we collected a comprehensive dataset of CYP3A4 inhibitors and developed an uncertainty-guided regression model for predicting CYP3A4 inhibitory activity (Figure 2). The model construction contains two main steps. In the first step, a robust classification model was developed by leveraging all binary classification data. Then, the classification outcomes were integrated with the input features of the regression model. In the second step, </w:t>
      </w:r>
      <w:r w:rsidRPr="004C52D9">
        <w:rPr>
          <w:rFonts w:ascii="Times New Roman" w:hAnsi="Times New Roman" w:cs="Times New Roman"/>
          <w:sz w:val="24"/>
          <w:szCs w:val="24"/>
        </w:rPr>
        <w:t>an</w:t>
      </w:r>
      <w:r w:rsidRPr="005C60FF">
        <w:rPr>
          <w:rFonts w:ascii="Times New Roman" w:hAnsi="Times New Roman" w:cs="Times New Roman"/>
          <w:sz w:val="24"/>
          <w:szCs w:val="24"/>
        </w:rPr>
        <w:t xml:space="preserve"> evidential uncertainty method was employed to quantify the prediction confidence by estimating the aleatoric and epistemic uncertainty. Finally, we applied the model to conduct virtual screening based on the different ranking strategies, and validated the predicted inhibition values.</w:t>
      </w:r>
    </w:p>
    <w:p w14:paraId="7BA7008E" w14:textId="1F199B67" w:rsidR="0020202E" w:rsidRPr="004C52D9" w:rsidRDefault="00953647" w:rsidP="00C54B3E">
      <w:pPr>
        <w:spacing w:line="276"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6BE260A7" wp14:editId="6084D432">
            <wp:extent cx="6139180" cy="4511675"/>
            <wp:effectExtent l="0" t="0" r="0" b="3175"/>
            <wp:docPr id="1516237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9180" cy="4511675"/>
                    </a:xfrm>
                    <a:prstGeom prst="rect">
                      <a:avLst/>
                    </a:prstGeom>
                    <a:noFill/>
                  </pic:spPr>
                </pic:pic>
              </a:graphicData>
            </a:graphic>
          </wp:inline>
        </w:drawing>
      </w:r>
    </w:p>
    <w:p w14:paraId="50CD4E9B" w14:textId="77777777" w:rsidR="0020202E" w:rsidRPr="005C60FF" w:rsidRDefault="0020202E" w:rsidP="0020202E">
      <w:pPr>
        <w:spacing w:line="276" w:lineRule="auto"/>
        <w:jc w:val="center"/>
        <w:rPr>
          <w:rFonts w:ascii="Times New Roman" w:hAnsi="Times New Roman" w:cs="Times New Roman"/>
        </w:rPr>
      </w:pPr>
      <w:r w:rsidRPr="004C52D9">
        <w:rPr>
          <w:rFonts w:ascii="Times New Roman" w:hAnsi="Times New Roman" w:cs="Times New Roman"/>
          <w:szCs w:val="21"/>
        </w:rPr>
        <w:t>Figure 2</w:t>
      </w:r>
      <w:r w:rsidRPr="004C52D9">
        <w:rPr>
          <w:rFonts w:ascii="Times New Roman" w:eastAsia="宋体" w:hAnsi="Times New Roman" w:cs="Times New Roman"/>
          <w:szCs w:val="21"/>
        </w:rPr>
        <w:t>. Enhanced strategy, model architecture and performance evaluation.</w:t>
      </w:r>
    </w:p>
    <w:p w14:paraId="6F4D766F" w14:textId="77777777" w:rsidR="0020202E" w:rsidRPr="005C60FF" w:rsidRDefault="0020202E" w:rsidP="0020202E">
      <w:pPr>
        <w:pStyle w:val="af0"/>
        <w:numPr>
          <w:ilvl w:val="1"/>
          <w:numId w:val="5"/>
        </w:numPr>
        <w:spacing w:beforeLines="50" w:before="156" w:afterLines="50" w:after="156" w:line="276" w:lineRule="auto"/>
        <w:ind w:left="0" w:firstLineChars="0" w:firstLine="0"/>
        <w:outlineLvl w:val="1"/>
        <w:rPr>
          <w:rFonts w:ascii="Times New Roman" w:hAnsi="Times New Roman" w:cs="Times New Roman"/>
          <w:bCs/>
          <w:sz w:val="32"/>
          <w:szCs w:val="24"/>
        </w:rPr>
      </w:pPr>
      <w:r w:rsidRPr="004C52D9">
        <w:rPr>
          <w:rFonts w:ascii="Times New Roman" w:hAnsi="Times New Roman" w:cs="Times New Roman"/>
          <w:bCs/>
          <w:sz w:val="32"/>
          <w:szCs w:val="24"/>
        </w:rPr>
        <w:lastRenderedPageBreak/>
        <w:t xml:space="preserve"> </w:t>
      </w:r>
      <w:r w:rsidRPr="005C60FF">
        <w:rPr>
          <w:rFonts w:ascii="Times New Roman" w:hAnsi="Times New Roman" w:cs="Times New Roman"/>
          <w:bCs/>
          <w:sz w:val="32"/>
          <w:szCs w:val="24"/>
        </w:rPr>
        <w:t xml:space="preserve">Physicochemical properties and structure analysis </w:t>
      </w:r>
    </w:p>
    <w:p w14:paraId="09C57045" w14:textId="77777777" w:rsidR="0020202E" w:rsidRPr="005C60FF" w:rsidRDefault="0020202E" w:rsidP="0020202E">
      <w:pPr>
        <w:pStyle w:val="af0"/>
        <w:spacing w:beforeLines="50" w:before="156" w:afterLines="50" w:after="156" w:line="276" w:lineRule="auto"/>
        <w:ind w:firstLineChars="100" w:firstLine="240"/>
        <w:rPr>
          <w:rFonts w:ascii="Times New Roman" w:eastAsia="宋体" w:hAnsi="Times New Roman" w:cs="Times New Roman"/>
          <w:sz w:val="24"/>
          <w:szCs w:val="21"/>
        </w:rPr>
      </w:pPr>
      <w:r w:rsidRPr="005C60FF">
        <w:rPr>
          <w:rFonts w:ascii="Times New Roman" w:eastAsia="宋体" w:hAnsi="Times New Roman" w:cs="Times New Roman"/>
          <w:sz w:val="24"/>
          <w:szCs w:val="21"/>
        </w:rPr>
        <w:t>In this work, we have compiled the most comprehensive and extensive dataset for CYP3A4 inhibitors to date. The dataset comprises 27,045 compounds with classification labels, in which 4,395 compounds have the IC</w:t>
      </w:r>
      <w:r w:rsidRPr="005C60FF">
        <w:rPr>
          <w:rFonts w:ascii="Times New Roman" w:eastAsia="宋体" w:hAnsi="Times New Roman" w:cs="Times New Roman"/>
          <w:sz w:val="24"/>
          <w:szCs w:val="21"/>
          <w:vertAlign w:val="subscript"/>
        </w:rPr>
        <w:t>50</w:t>
      </w:r>
      <w:r w:rsidRPr="005C60FF">
        <w:rPr>
          <w:rFonts w:ascii="Times New Roman" w:eastAsia="宋体" w:hAnsi="Times New Roman" w:cs="Times New Roman"/>
          <w:sz w:val="24"/>
          <w:szCs w:val="21"/>
        </w:rPr>
        <w:t xml:space="preserve"> values against human CYP3A4. To comprehensively analyze this dataset, the data were divided into three groups based on the known labels, namely strong inhibitor group (IC</w:t>
      </w:r>
      <w:r w:rsidRPr="005C60FF">
        <w:rPr>
          <w:rFonts w:ascii="Times New Roman" w:eastAsia="宋体" w:hAnsi="Times New Roman" w:cs="Times New Roman"/>
          <w:sz w:val="24"/>
          <w:szCs w:val="21"/>
          <w:vertAlign w:val="subscript"/>
        </w:rPr>
        <w:t>50</w:t>
      </w:r>
      <w:r w:rsidRPr="005C60FF">
        <w:rPr>
          <w:rFonts w:ascii="Times New Roman" w:eastAsia="宋体" w:hAnsi="Times New Roman" w:cs="Times New Roman"/>
          <w:sz w:val="24"/>
          <w:szCs w:val="21"/>
        </w:rPr>
        <w:t xml:space="preserve"> &lt; 1 </w:t>
      </w:r>
      <w:proofErr w:type="spellStart"/>
      <w:r w:rsidRPr="005C60FF">
        <w:rPr>
          <w:rFonts w:ascii="Times New Roman" w:eastAsia="宋体" w:hAnsi="Times New Roman" w:cs="Times New Roman"/>
          <w:sz w:val="24"/>
          <w:szCs w:val="21"/>
        </w:rPr>
        <w:t>μM</w:t>
      </w:r>
      <w:proofErr w:type="spellEnd"/>
      <w:r w:rsidRPr="005C60FF">
        <w:rPr>
          <w:rFonts w:ascii="Times New Roman" w:eastAsia="宋体" w:hAnsi="Times New Roman" w:cs="Times New Roman"/>
          <w:sz w:val="24"/>
          <w:szCs w:val="21"/>
        </w:rPr>
        <w:t>), active inhibitor group (IC</w:t>
      </w:r>
      <w:r w:rsidRPr="005C60FF">
        <w:rPr>
          <w:rFonts w:ascii="Times New Roman" w:eastAsia="宋体" w:hAnsi="Times New Roman" w:cs="Times New Roman"/>
          <w:sz w:val="24"/>
          <w:szCs w:val="21"/>
          <w:vertAlign w:val="subscript"/>
        </w:rPr>
        <w:t>50</w:t>
      </w:r>
      <w:r w:rsidRPr="005C60FF">
        <w:rPr>
          <w:rFonts w:ascii="Times New Roman" w:eastAsia="宋体" w:hAnsi="Times New Roman" w:cs="Times New Roman"/>
          <w:sz w:val="24"/>
          <w:szCs w:val="21"/>
        </w:rPr>
        <w:t xml:space="preserve"> &lt; 10 </w:t>
      </w:r>
      <w:proofErr w:type="spellStart"/>
      <w:r w:rsidRPr="005C60FF">
        <w:rPr>
          <w:rFonts w:ascii="Times New Roman" w:eastAsia="宋体" w:hAnsi="Times New Roman" w:cs="Times New Roman"/>
          <w:sz w:val="24"/>
          <w:szCs w:val="21"/>
        </w:rPr>
        <w:t>μM</w:t>
      </w:r>
      <w:proofErr w:type="spellEnd"/>
      <w:r w:rsidRPr="005C60FF">
        <w:rPr>
          <w:rFonts w:ascii="Times New Roman" w:eastAsia="宋体" w:hAnsi="Times New Roman" w:cs="Times New Roman"/>
          <w:sz w:val="24"/>
          <w:szCs w:val="21"/>
        </w:rPr>
        <w:t>) and inactive group (IC</w:t>
      </w:r>
      <w:r w:rsidRPr="005C60FF">
        <w:rPr>
          <w:rFonts w:ascii="Times New Roman" w:eastAsia="宋体" w:hAnsi="Times New Roman" w:cs="Times New Roman"/>
          <w:sz w:val="24"/>
          <w:szCs w:val="21"/>
          <w:vertAlign w:val="subscript"/>
        </w:rPr>
        <w:t>50</w:t>
      </w:r>
      <w:r w:rsidRPr="005C60FF">
        <w:rPr>
          <w:rFonts w:ascii="Times New Roman" w:eastAsia="宋体" w:hAnsi="Times New Roman" w:cs="Times New Roman"/>
          <w:sz w:val="24"/>
          <w:szCs w:val="21"/>
        </w:rPr>
        <w:t xml:space="preserve"> &gt; 10 </w:t>
      </w:r>
      <w:proofErr w:type="spellStart"/>
      <w:r w:rsidRPr="005C60FF">
        <w:rPr>
          <w:rFonts w:ascii="Times New Roman" w:eastAsia="宋体" w:hAnsi="Times New Roman" w:cs="Times New Roman"/>
          <w:sz w:val="24"/>
          <w:szCs w:val="21"/>
        </w:rPr>
        <w:t>μM</w:t>
      </w:r>
      <w:proofErr w:type="spellEnd"/>
      <w:r w:rsidRPr="005C60FF">
        <w:rPr>
          <w:rFonts w:ascii="Times New Roman" w:eastAsia="宋体" w:hAnsi="Times New Roman" w:cs="Times New Roman"/>
          <w:sz w:val="24"/>
          <w:szCs w:val="21"/>
        </w:rPr>
        <w:t>).</w:t>
      </w:r>
    </w:p>
    <w:p w14:paraId="7670C8ED" w14:textId="7E0AAE1A" w:rsidR="0020202E" w:rsidRPr="005C60FF" w:rsidRDefault="0020202E" w:rsidP="0020202E">
      <w:pPr>
        <w:pStyle w:val="af0"/>
        <w:spacing w:beforeLines="50" w:before="156" w:afterLines="50" w:after="156" w:line="276" w:lineRule="auto"/>
        <w:ind w:firstLineChars="100" w:firstLine="240"/>
        <w:rPr>
          <w:rFonts w:ascii="Times New Roman" w:eastAsia="宋体" w:hAnsi="Times New Roman" w:cs="Times New Roman"/>
          <w:sz w:val="24"/>
          <w:szCs w:val="21"/>
        </w:rPr>
      </w:pPr>
      <w:r w:rsidRPr="005C60FF">
        <w:rPr>
          <w:rFonts w:ascii="Times New Roman" w:eastAsia="宋体" w:hAnsi="Times New Roman" w:cs="Times New Roman"/>
          <w:sz w:val="24"/>
          <w:szCs w:val="21"/>
        </w:rPr>
        <w:t>As shown in</w:t>
      </w:r>
      <w:r w:rsidRPr="005C60FF">
        <w:rPr>
          <w:rFonts w:ascii="Times New Roman" w:eastAsia="宋体" w:hAnsi="Times New Roman" w:cs="Times New Roman"/>
          <w:bCs/>
          <w:sz w:val="24"/>
          <w:szCs w:val="21"/>
        </w:rPr>
        <w:t xml:space="preserve"> Figure 3</w:t>
      </w:r>
      <w:r w:rsidRPr="004C52D9">
        <w:rPr>
          <w:rFonts w:ascii="Times New Roman" w:eastAsia="宋体" w:hAnsi="Times New Roman" w:cs="Times New Roman"/>
          <w:bCs/>
          <w:sz w:val="24"/>
          <w:szCs w:val="21"/>
        </w:rPr>
        <w:t>A</w:t>
      </w:r>
      <w:r>
        <w:rPr>
          <w:rFonts w:ascii="Times New Roman" w:eastAsia="宋体" w:hAnsi="Times New Roman" w:cs="Times New Roman"/>
          <w:bCs/>
          <w:sz w:val="24"/>
          <w:szCs w:val="21"/>
        </w:rPr>
        <w:t xml:space="preserve"> and Table S2</w:t>
      </w:r>
      <w:r w:rsidRPr="005C60FF">
        <w:rPr>
          <w:rFonts w:ascii="Times New Roman" w:eastAsia="宋体" w:hAnsi="Times New Roman" w:cs="Times New Roman"/>
          <w:sz w:val="24"/>
          <w:szCs w:val="21"/>
        </w:rPr>
        <w:t>, all six physicochemical properties of the compounds within three different groups exhibited significantly different (Mann–Whitney U test, p&lt;0.001). The strong inhibitors displayed larger molecular weights compared to the inactive and active compounds, which could be attributed to the large active pocket of CYP3A4.</w:t>
      </w:r>
      <w:r w:rsidR="00F826C7">
        <w:rPr>
          <w:rFonts w:ascii="Times New Roman" w:eastAsia="宋体" w:hAnsi="Times New Roman" w:cs="Times New Roman"/>
          <w:sz w:val="24"/>
          <w:szCs w:val="21"/>
        </w:rPr>
        <w:fldChar w:fldCharType="begin"/>
      </w:r>
      <w:r w:rsidR="00F826C7">
        <w:rPr>
          <w:rFonts w:ascii="Times New Roman" w:eastAsia="宋体" w:hAnsi="Times New Roman" w:cs="Times New Roman"/>
          <w:sz w:val="24"/>
          <w:szCs w:val="21"/>
        </w:rPr>
        <w:instrText xml:space="preserve"> ADDIN ZOTERO_ITEM CSL_CITATION {"citationID":"9ztqmx2z","properties":{"formattedCitation":"\\super 12,13\\nosupersub{}","plainCitation":"12,13","noteIndex":0},"citationItems":[{"id":2352,"uris":["http://zotero.org/users/9157699/items/3E2WHH66"],"itemData":{"id":2352,"type":"article-journal","abstract":"Cytochrome P450 3A4 (CYP3A4) catalyzes the initial step in the clearance of many pharmaceuticals and foreign chemicals. The structurally diverse nature of CYP3A4 substrates complicates rational prediction of their metabolism and identification of potential drug interactions. The first molecular structures of human CYP3A4 were recently determined, revealing an active site of sufficient size and topography to accommodate either large ligands or multiple smaller ligands, as suggested by the heterotropic and homotropic cooperativity of the enzyme.","container-title":"Trends in Biochemical Sciences","DOI":"10.1016/j.tibs.2004.11.004","ISSN":"0968-0004","issue":"1","journalAbbreviation":"Trends Biochem Sci","language":"eng","note":"PMID: 15653318","page":"5-7","source":"PubMed","title":"Structures of cytochrome P450 3A4","volume":"30","author":[{"family":"Scott","given":"Emily E."},{"family":"Halpert","given":"James R."}],"issued":{"date-parts":[["2005",1]]}}},{</w:instrText>
      </w:r>
      <w:r w:rsidR="00F826C7">
        <w:rPr>
          <w:rFonts w:ascii="Times New Roman" w:eastAsia="宋体" w:hAnsi="Times New Roman" w:cs="Times New Roman" w:hint="eastAsia"/>
          <w:sz w:val="24"/>
          <w:szCs w:val="21"/>
        </w:rPr>
        <w:instrText xml:space="preserve">"id":2350,"uris":["http://zotero.org/users/9157699/items/6D64UNNY"],"itemData":{"id":2350,"type":"article-journal","abstract":"Cytochrome P450 (CYP) 3A4 is the most promiscuous of the human CYP enzymes and contributes to the metabolism of </w:instrText>
      </w:r>
      <w:r w:rsidR="00F826C7">
        <w:rPr>
          <w:rFonts w:ascii="Times New Roman" w:eastAsia="宋体" w:hAnsi="Times New Roman" w:cs="Times New Roman" w:hint="eastAsia"/>
          <w:sz w:val="24"/>
          <w:szCs w:val="21"/>
        </w:rPr>
        <w:instrText>≈</w:instrText>
      </w:r>
      <w:r w:rsidR="00F826C7">
        <w:rPr>
          <w:rFonts w:ascii="Times New Roman" w:eastAsia="宋体" w:hAnsi="Times New Roman" w:cs="Times New Roman" w:hint="eastAsia"/>
          <w:sz w:val="24"/>
          <w:szCs w:val="21"/>
        </w:rPr>
        <w:instrText>50% of marketed</w:instrText>
      </w:r>
      <w:r w:rsidR="00F826C7">
        <w:rPr>
          <w:rFonts w:ascii="Times New Roman" w:eastAsia="宋体" w:hAnsi="Times New Roman" w:cs="Times New Roman"/>
          <w:sz w:val="24"/>
          <w:szCs w:val="21"/>
        </w:rPr>
        <w:instrText xml:space="preserve"> drugs. It is also the isoform most often involved in unwanted drug–drug interactions. A better understanding of the molecular mechanisms governing CYP3A4–ligand interaction therefore would be of great importance to any drug discovery effort. Here, we present crystal structures of human CYP3A4 in complex with two well characterized drugs: ketoconazole and erythromycin. In contrast to previous reports, the protein undergoes dramatic conformational changes upon ligand binding with an increase in the active site volume by &gt;80%. The structures represent two distinct open conformations of CYP3A4 because ketoconazole and erythromycin induce different types of coordinate shifts. The binding of two molecules of ketoconazole to the CYP3A4 active site and the clear indication of multiple binding modes for erythromycin has implications for the interpretation of the atypical kinetic data often displayed by CYP3A4. The extreme flexibility revealed by the present structures also challenges any attempt to apply computational design tools without the support of relevant experimental data.","container-title":"Proceedings of the National Academy of Sciences","DOI":"10.1073/pnas.0603236103","issue":"37","note":"publisher: Proceedings of the National Academy of Sciences","page":"13682-13687","source":"pnas.org (Atypon)","title":"Structural basis for ligand promiscuity in cytochrome P450 3A4","volume":"103","author":[{"family":"Ekroos","given":"Marika"},{"family":"Sjögren","given":"Tove"}],"issued":{"date-parts":[["2006",9,12]]}}}],"schema":"https://github.com/citation-style-language/schema/raw/master/csl-citation.json"} </w:instrText>
      </w:r>
      <w:r w:rsidR="00F826C7">
        <w:rPr>
          <w:rFonts w:ascii="Times New Roman" w:eastAsia="宋体" w:hAnsi="Times New Roman" w:cs="Times New Roman"/>
          <w:sz w:val="24"/>
          <w:szCs w:val="21"/>
        </w:rPr>
        <w:fldChar w:fldCharType="separate"/>
      </w:r>
      <w:r w:rsidR="00F826C7" w:rsidRPr="00F826C7">
        <w:rPr>
          <w:rFonts w:ascii="Times New Roman" w:hAnsi="Times New Roman" w:cs="Times New Roman"/>
          <w:kern w:val="0"/>
          <w:sz w:val="24"/>
          <w:szCs w:val="24"/>
          <w:vertAlign w:val="superscript"/>
        </w:rPr>
        <w:t>12,13</w:t>
      </w:r>
      <w:r w:rsidR="00F826C7">
        <w:rPr>
          <w:rFonts w:ascii="Times New Roman" w:eastAsia="宋体" w:hAnsi="Times New Roman" w:cs="Times New Roman"/>
          <w:sz w:val="24"/>
          <w:szCs w:val="21"/>
        </w:rPr>
        <w:fldChar w:fldCharType="end"/>
      </w:r>
      <w:r w:rsidRPr="005C60FF">
        <w:rPr>
          <w:rFonts w:ascii="Times New Roman" w:eastAsia="宋体" w:hAnsi="Times New Roman" w:cs="Times New Roman"/>
          <w:sz w:val="24"/>
          <w:szCs w:val="21"/>
        </w:rPr>
        <w:t xml:space="preserve"> Moreover, the strong inhibitor and active inhibitor groups generally had more hydrogen bond acceptors </w:t>
      </w:r>
      <w:r w:rsidR="00953647">
        <w:rPr>
          <w:rFonts w:ascii="Times New Roman" w:eastAsia="宋体" w:hAnsi="Times New Roman" w:cs="Times New Roman"/>
          <w:sz w:val="24"/>
          <w:szCs w:val="21"/>
        </w:rPr>
        <w:t>than</w:t>
      </w:r>
      <w:r w:rsidRPr="005C60FF">
        <w:rPr>
          <w:rFonts w:ascii="Times New Roman" w:eastAsia="宋体" w:hAnsi="Times New Roman" w:cs="Times New Roman"/>
          <w:sz w:val="24"/>
          <w:szCs w:val="21"/>
        </w:rPr>
        <w:t xml:space="preserve"> the inactive compounds, </w:t>
      </w:r>
      <w:r w:rsidR="00953647" w:rsidRPr="005C60FF">
        <w:rPr>
          <w:rFonts w:ascii="Times New Roman" w:eastAsia="宋体" w:hAnsi="Times New Roman" w:cs="Times New Roman"/>
          <w:sz w:val="24"/>
          <w:szCs w:val="21"/>
        </w:rPr>
        <w:t>agree</w:t>
      </w:r>
      <w:r w:rsidR="00953647">
        <w:rPr>
          <w:rFonts w:ascii="Times New Roman" w:eastAsia="宋体" w:hAnsi="Times New Roman" w:cs="Times New Roman"/>
          <w:sz w:val="24"/>
          <w:szCs w:val="21"/>
        </w:rPr>
        <w:t>ing</w:t>
      </w:r>
      <w:r w:rsidR="00953647" w:rsidRPr="005C60FF">
        <w:rPr>
          <w:rFonts w:ascii="Times New Roman" w:eastAsia="宋体" w:hAnsi="Times New Roman" w:cs="Times New Roman"/>
          <w:sz w:val="24"/>
          <w:szCs w:val="21"/>
        </w:rPr>
        <w:t xml:space="preserve"> </w:t>
      </w:r>
      <w:r w:rsidRPr="005C60FF">
        <w:rPr>
          <w:rFonts w:ascii="Times New Roman" w:eastAsia="宋体" w:hAnsi="Times New Roman" w:cs="Times New Roman"/>
          <w:sz w:val="24"/>
          <w:szCs w:val="21"/>
        </w:rPr>
        <w:t xml:space="preserve">well with the fact that potent CYP3A4 inhibitors </w:t>
      </w:r>
      <w:r>
        <w:rPr>
          <w:rFonts w:ascii="Times New Roman" w:eastAsia="宋体" w:hAnsi="Times New Roman" w:cs="Times New Roman"/>
          <w:sz w:val="24"/>
          <w:szCs w:val="21"/>
        </w:rPr>
        <w:t>prefer to</w:t>
      </w:r>
      <w:r w:rsidRPr="005C60FF">
        <w:rPr>
          <w:rFonts w:ascii="Times New Roman" w:eastAsia="宋体" w:hAnsi="Times New Roman" w:cs="Times New Roman"/>
          <w:sz w:val="24"/>
          <w:szCs w:val="21"/>
        </w:rPr>
        <w:t xml:space="preserve"> form hydrogen bonds with amino acids around the CYP3A4 catalytic pocket</w:t>
      </w:r>
      <w:r w:rsidRPr="00883454">
        <w:rPr>
          <w:rFonts w:ascii="Times New Roman" w:eastAsia="宋体" w:hAnsi="Times New Roman" w:cs="Times New Roman"/>
          <w:sz w:val="24"/>
          <w:szCs w:val="21"/>
        </w:rPr>
        <w:t>.</w:t>
      </w:r>
      <w:r w:rsidR="007D569E">
        <w:rPr>
          <w:rFonts w:ascii="Times New Roman" w:eastAsia="宋体" w:hAnsi="Times New Roman" w:cs="Times New Roman"/>
          <w:sz w:val="24"/>
          <w:szCs w:val="21"/>
        </w:rPr>
        <w:fldChar w:fldCharType="begin"/>
      </w:r>
      <w:r w:rsidR="007D569E">
        <w:rPr>
          <w:rFonts w:ascii="Times New Roman" w:eastAsia="宋体" w:hAnsi="Times New Roman" w:cs="Times New Roman"/>
          <w:sz w:val="24"/>
          <w:szCs w:val="21"/>
        </w:rPr>
        <w:instrText xml:space="preserve"> ADDIN ZOTERO_ITEM CSL_CITATION {"citationID":"ZqfL62x8","properties":{"formattedCitation":"\\super 12\\nosupersub{}","plainCitation":"12","noteIndex":0},"citationItems":[{"id":2350,"uris":["http://zotero.org/users/9157699/items/6D64UNNY"],"itemData":{"id</w:instrText>
      </w:r>
      <w:r w:rsidR="007D569E">
        <w:rPr>
          <w:rFonts w:ascii="Times New Roman" w:eastAsia="宋体" w:hAnsi="Times New Roman" w:cs="Times New Roman" w:hint="eastAsia"/>
          <w:sz w:val="24"/>
          <w:szCs w:val="21"/>
        </w:rPr>
        <w:instrText xml:space="preserve">":2350,"type":"article-journal","abstract":"Cytochrome P450 (CYP) 3A4 is the most promiscuous of the human CYP enzymes and contributes to the metabolism of </w:instrText>
      </w:r>
      <w:r w:rsidR="007D569E">
        <w:rPr>
          <w:rFonts w:ascii="Times New Roman" w:eastAsia="宋体" w:hAnsi="Times New Roman" w:cs="Times New Roman" w:hint="eastAsia"/>
          <w:sz w:val="24"/>
          <w:szCs w:val="21"/>
        </w:rPr>
        <w:instrText>≈</w:instrText>
      </w:r>
      <w:r w:rsidR="007D569E">
        <w:rPr>
          <w:rFonts w:ascii="Times New Roman" w:eastAsia="宋体" w:hAnsi="Times New Roman" w:cs="Times New Roman" w:hint="eastAsia"/>
          <w:sz w:val="24"/>
          <w:szCs w:val="21"/>
        </w:rPr>
        <w:instrText>50% of marketed drugs. It is also the isoform most often involved in unwanted drug</w:instrText>
      </w:r>
      <w:r w:rsidR="007D569E">
        <w:rPr>
          <w:rFonts w:ascii="Times New Roman" w:eastAsia="宋体" w:hAnsi="Times New Roman" w:cs="Times New Roman" w:hint="eastAsia"/>
          <w:sz w:val="24"/>
          <w:szCs w:val="21"/>
        </w:rPr>
        <w:instrText>–</w:instrText>
      </w:r>
      <w:r w:rsidR="007D569E">
        <w:rPr>
          <w:rFonts w:ascii="Times New Roman" w:eastAsia="宋体" w:hAnsi="Times New Roman" w:cs="Times New Roman" w:hint="eastAsia"/>
          <w:sz w:val="24"/>
          <w:szCs w:val="21"/>
        </w:rPr>
        <w:instrText>drug interactio</w:instrText>
      </w:r>
      <w:r w:rsidR="007D569E">
        <w:rPr>
          <w:rFonts w:ascii="Times New Roman" w:eastAsia="宋体" w:hAnsi="Times New Roman" w:cs="Times New Roman"/>
          <w:sz w:val="24"/>
          <w:szCs w:val="21"/>
        </w:rPr>
        <w:instrText xml:space="preserve">ns. A better understanding of the molecular mechanisms governing CYP3A4–ligand interaction therefore would be of great importance to any drug discovery effort. Here, we present crystal structures of human CYP3A4 in complex with two well characterized drugs: ketoconazole and erythromycin. In contrast to previous reports, the protein undergoes dramatic conformational changes upon ligand binding with an increase in the active site volume by &gt;80%. The structures represent two distinct open conformations of CYP3A4 because ketoconazole and erythromycin induce different types of coordinate shifts. The binding of two molecules of ketoconazole to the CYP3A4 active site and the clear indication of multiple binding modes for erythromycin has implications for the interpretation of the atypical kinetic data often displayed by CYP3A4. The extreme flexibility revealed by the present structures also challenges any attempt to apply computational design tools without the support of relevant experimental data.","container-title":"Proceedings of the National Academy of Sciences","DOI":"10.1073/pnas.0603236103","issue":"37","note":"publisher: Proceedings of the National Academy of Sciences","page":"13682-13687","source":"pnas.org (Atypon)","title":"Structural basis for ligand promiscuity in cytochrome P450 3A4","volume":"103","author":[{"family":"Ekroos","given":"Marika"},{"family":"Sjögren","given":"Tove"}],"issued":{"date-parts":[["2006",9,12]]}}}],"schema":"https://github.com/citation-style-language/schema/raw/master/csl-citation.json"} </w:instrText>
      </w:r>
      <w:r w:rsidR="007D569E">
        <w:rPr>
          <w:rFonts w:ascii="Times New Roman" w:eastAsia="宋体" w:hAnsi="Times New Roman" w:cs="Times New Roman"/>
          <w:sz w:val="24"/>
          <w:szCs w:val="21"/>
        </w:rPr>
        <w:fldChar w:fldCharType="separate"/>
      </w:r>
      <w:r w:rsidR="007D569E" w:rsidRPr="007D569E">
        <w:rPr>
          <w:rFonts w:ascii="Times New Roman" w:hAnsi="Times New Roman" w:cs="Times New Roman"/>
          <w:kern w:val="0"/>
          <w:sz w:val="24"/>
          <w:szCs w:val="24"/>
          <w:vertAlign w:val="superscript"/>
        </w:rPr>
        <w:t>12</w:t>
      </w:r>
      <w:r w:rsidR="007D569E">
        <w:rPr>
          <w:rFonts w:ascii="Times New Roman" w:eastAsia="宋体" w:hAnsi="Times New Roman" w:cs="Times New Roman"/>
          <w:sz w:val="24"/>
          <w:szCs w:val="21"/>
        </w:rPr>
        <w:fldChar w:fldCharType="end"/>
      </w:r>
      <w:r w:rsidRPr="005C60FF">
        <w:rPr>
          <w:rFonts w:ascii="Times New Roman" w:eastAsia="宋体" w:hAnsi="Times New Roman" w:cs="Times New Roman"/>
          <w:sz w:val="24"/>
          <w:szCs w:val="21"/>
        </w:rPr>
        <w:t xml:space="preserve"> Notably, the strong inhibitors exhibited relatively larger </w:t>
      </w:r>
      <w:proofErr w:type="spellStart"/>
      <w:r>
        <w:rPr>
          <w:rFonts w:ascii="Times New Roman" w:eastAsia="宋体" w:hAnsi="Times New Roman" w:cs="Times New Roman"/>
          <w:sz w:val="24"/>
          <w:szCs w:val="21"/>
        </w:rPr>
        <w:t>Mol</w:t>
      </w:r>
      <w:r w:rsidRPr="005C60FF">
        <w:rPr>
          <w:rFonts w:ascii="Times New Roman" w:eastAsia="宋体" w:hAnsi="Times New Roman" w:cs="Times New Roman"/>
          <w:sz w:val="24"/>
          <w:szCs w:val="21"/>
        </w:rPr>
        <w:t>LogP</w:t>
      </w:r>
      <w:proofErr w:type="spellEnd"/>
      <w:r w:rsidRPr="005C60FF">
        <w:rPr>
          <w:rFonts w:ascii="Times New Roman" w:eastAsia="宋体" w:hAnsi="Times New Roman" w:cs="Times New Roman"/>
          <w:sz w:val="24"/>
          <w:szCs w:val="21"/>
        </w:rPr>
        <w:t xml:space="preserve"> values, which is consistent with the ligand preference of CYP3A4 (</w:t>
      </w:r>
      <w:r w:rsidR="00953647">
        <w:rPr>
          <w:rFonts w:ascii="Times New Roman" w:eastAsia="宋体" w:hAnsi="Times New Roman" w:cs="Times New Roman"/>
          <w:sz w:val="24"/>
          <w:szCs w:val="21"/>
        </w:rPr>
        <w:t xml:space="preserve">which </w:t>
      </w:r>
      <w:r w:rsidRPr="005C60FF">
        <w:rPr>
          <w:rFonts w:ascii="Times New Roman" w:eastAsia="宋体" w:hAnsi="Times New Roman" w:cs="Times New Roman"/>
          <w:sz w:val="24"/>
          <w:szCs w:val="21"/>
        </w:rPr>
        <w:t>prefers to bind the ligand bearing polyaromatics that always showed high hydrophobicity).</w:t>
      </w:r>
    </w:p>
    <w:p w14:paraId="5FD91F56" w14:textId="77777777" w:rsidR="0020202E" w:rsidRPr="005C60FF" w:rsidRDefault="0020202E" w:rsidP="0020202E">
      <w:pPr>
        <w:pStyle w:val="af0"/>
        <w:spacing w:beforeLines="50" w:before="156" w:afterLines="50" w:after="156" w:line="276" w:lineRule="auto"/>
        <w:ind w:firstLineChars="100" w:firstLine="240"/>
        <w:rPr>
          <w:rFonts w:ascii="Times New Roman" w:eastAsia="宋体" w:hAnsi="Times New Roman" w:cs="Times New Roman"/>
          <w:color w:val="000000" w:themeColor="text1"/>
          <w:sz w:val="24"/>
          <w:szCs w:val="21"/>
        </w:rPr>
      </w:pPr>
      <w:r w:rsidRPr="005C60FF">
        <w:rPr>
          <w:rFonts w:ascii="Times New Roman" w:eastAsia="宋体" w:hAnsi="Times New Roman" w:cs="Times New Roman"/>
          <w:color w:val="000000" w:themeColor="text1"/>
          <w:sz w:val="24"/>
          <w:szCs w:val="21"/>
        </w:rPr>
        <w:t>We further visualized the chemical structure space of three inhibitor groups using t-SNE plots (</w:t>
      </w:r>
      <w:r w:rsidRPr="005C60FF">
        <w:rPr>
          <w:rFonts w:ascii="Times New Roman" w:eastAsia="宋体" w:hAnsi="Times New Roman" w:cs="Times New Roman"/>
          <w:bCs/>
          <w:color w:val="000000" w:themeColor="text1"/>
          <w:sz w:val="24"/>
          <w:szCs w:val="21"/>
        </w:rPr>
        <w:t>Figure 3</w:t>
      </w:r>
      <w:r w:rsidRPr="004C52D9">
        <w:rPr>
          <w:rFonts w:ascii="Times New Roman" w:eastAsia="宋体" w:hAnsi="Times New Roman" w:cs="Times New Roman"/>
          <w:bCs/>
          <w:color w:val="000000" w:themeColor="text1"/>
          <w:sz w:val="24"/>
          <w:szCs w:val="21"/>
        </w:rPr>
        <w:t>B</w:t>
      </w:r>
      <w:r w:rsidRPr="005C60FF">
        <w:rPr>
          <w:rFonts w:ascii="Times New Roman" w:eastAsia="宋体" w:hAnsi="Times New Roman" w:cs="Times New Roman"/>
          <w:color w:val="000000" w:themeColor="text1"/>
          <w:sz w:val="24"/>
          <w:szCs w:val="21"/>
        </w:rPr>
        <w:t>). t-SNE is an algorithm used to reduce high-dimensional data into a two-dimensional representation, highlighting patterns and similarities among data points.</w:t>
      </w:r>
      <w:r w:rsidRPr="005C60FF">
        <w:rPr>
          <w:rFonts w:ascii="Times New Roman" w:hAnsi="Times New Roman" w:cs="Times New Roman"/>
          <w:color w:val="000000" w:themeColor="text1"/>
          <w:sz w:val="24"/>
        </w:rPr>
        <w:t xml:space="preserve"> </w:t>
      </w:r>
      <w:r w:rsidRPr="005C60FF">
        <w:rPr>
          <w:rFonts w:ascii="Times New Roman" w:eastAsia="宋体" w:hAnsi="Times New Roman" w:cs="Times New Roman"/>
          <w:color w:val="000000" w:themeColor="text1"/>
          <w:sz w:val="24"/>
          <w:szCs w:val="21"/>
        </w:rPr>
        <w:t>The plots showed a substantial overlap between the chemical structure spaces of the active and inactive groups, suggesting no significant differences in chemical structure among these groups. Moreover, the strong inhibitors exhibited a relatively uniform distribution within the active group’s space,</w:t>
      </w:r>
      <w:r w:rsidRPr="005C60FF">
        <w:rPr>
          <w:rFonts w:ascii="Times New Roman" w:hAnsi="Times New Roman" w:cs="Times New Roman"/>
          <w:color w:val="000000" w:themeColor="text1"/>
          <w:sz w:val="24"/>
        </w:rPr>
        <w:t xml:space="preserve"> </w:t>
      </w:r>
      <w:r w:rsidRPr="005C60FF">
        <w:rPr>
          <w:rFonts w:ascii="Times New Roman" w:eastAsia="宋体" w:hAnsi="Times New Roman" w:cs="Times New Roman"/>
          <w:color w:val="000000" w:themeColor="text1"/>
          <w:sz w:val="24"/>
          <w:szCs w:val="21"/>
        </w:rPr>
        <w:t>indicating the chemical structural diversity among the potent CYP3A4 inhibitors.</w:t>
      </w:r>
    </w:p>
    <w:p w14:paraId="27940E2B" w14:textId="4C41274C" w:rsidR="0020202E" w:rsidRPr="004C52D9" w:rsidRDefault="00C54B3E" w:rsidP="0020202E">
      <w:pPr>
        <w:pStyle w:val="af0"/>
        <w:spacing w:line="276" w:lineRule="auto"/>
        <w:ind w:firstLineChars="0" w:firstLine="21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953D7C0" wp14:editId="4FC8A2AC">
            <wp:extent cx="4633072" cy="5011119"/>
            <wp:effectExtent l="0" t="0" r="0" b="0"/>
            <wp:docPr id="12001162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7711" cy="5016136"/>
                    </a:xfrm>
                    <a:prstGeom prst="rect">
                      <a:avLst/>
                    </a:prstGeom>
                    <a:noFill/>
                  </pic:spPr>
                </pic:pic>
              </a:graphicData>
            </a:graphic>
          </wp:inline>
        </w:drawing>
      </w:r>
    </w:p>
    <w:p w14:paraId="116C04E7" w14:textId="1CAC863A" w:rsidR="007829B5" w:rsidRDefault="0020202E" w:rsidP="007829B5">
      <w:pPr>
        <w:pStyle w:val="af0"/>
        <w:spacing w:beforeLines="50" w:before="156" w:afterLines="50" w:after="156" w:line="276" w:lineRule="auto"/>
        <w:ind w:firstLineChars="0" w:firstLine="0"/>
        <w:jc w:val="left"/>
        <w:rPr>
          <w:rFonts w:ascii="Times New Roman" w:hAnsi="Times New Roman" w:cs="Times New Roman"/>
          <w:szCs w:val="21"/>
        </w:rPr>
      </w:pPr>
      <w:r w:rsidRPr="005C60FF">
        <w:rPr>
          <w:rFonts w:ascii="Times New Roman" w:hAnsi="Times New Roman" w:cs="Times New Roman"/>
          <w:bCs/>
          <w:szCs w:val="21"/>
        </w:rPr>
        <w:t>Figure 3</w:t>
      </w:r>
      <w:r w:rsidRPr="004C52D9">
        <w:rPr>
          <w:rFonts w:ascii="Times New Roman" w:hAnsi="Times New Roman" w:cs="Times New Roman"/>
          <w:szCs w:val="21"/>
        </w:rPr>
        <w:t xml:space="preserve">. Comparison of physicochemical features in strong, </w:t>
      </w:r>
      <w:proofErr w:type="gramStart"/>
      <w:r w:rsidRPr="004C52D9">
        <w:rPr>
          <w:rFonts w:ascii="Times New Roman" w:hAnsi="Times New Roman" w:cs="Times New Roman"/>
          <w:szCs w:val="21"/>
        </w:rPr>
        <w:t>active</w:t>
      </w:r>
      <w:proofErr w:type="gramEnd"/>
      <w:r w:rsidRPr="004C52D9">
        <w:rPr>
          <w:rFonts w:ascii="Times New Roman" w:hAnsi="Times New Roman" w:cs="Times New Roman"/>
          <w:szCs w:val="21"/>
        </w:rPr>
        <w:t xml:space="preserve"> and inactive compounds. (A) Box plots of the six physicochemical properties for the three groups. (B) Density plots illustrat</w:t>
      </w:r>
      <w:r w:rsidR="00953647">
        <w:rPr>
          <w:rFonts w:ascii="Times New Roman" w:hAnsi="Times New Roman" w:cs="Times New Roman"/>
          <w:szCs w:val="21"/>
        </w:rPr>
        <w:t>e</w:t>
      </w:r>
      <w:r w:rsidRPr="004C52D9">
        <w:rPr>
          <w:rFonts w:ascii="Times New Roman" w:hAnsi="Times New Roman" w:cs="Times New Roman"/>
          <w:szCs w:val="21"/>
        </w:rPr>
        <w:t xml:space="preserve"> the distribution of chemical structures for the three groups (inactive, active, and strong inhibitors) with </w:t>
      </w:r>
      <w:r w:rsidRPr="005C60FF">
        <w:rPr>
          <w:rFonts w:ascii="Times New Roman" w:hAnsi="Times New Roman" w:cs="Times New Roman"/>
          <w:szCs w:val="21"/>
        </w:rPr>
        <w:t>blue</w:t>
      </w:r>
      <w:r w:rsidRPr="004C52D9">
        <w:rPr>
          <w:rFonts w:ascii="Times New Roman" w:hAnsi="Times New Roman" w:cs="Times New Roman"/>
          <w:szCs w:val="21"/>
        </w:rPr>
        <w:t xml:space="preserve">, </w:t>
      </w:r>
      <w:r w:rsidRPr="005C60FF">
        <w:rPr>
          <w:rFonts w:ascii="Times New Roman" w:hAnsi="Times New Roman" w:cs="Times New Roman"/>
          <w:szCs w:val="21"/>
        </w:rPr>
        <w:t>yellow</w:t>
      </w:r>
      <w:r w:rsidRPr="004C52D9">
        <w:rPr>
          <w:rFonts w:ascii="Times New Roman" w:hAnsi="Times New Roman" w:cs="Times New Roman"/>
          <w:szCs w:val="21"/>
        </w:rPr>
        <w:t xml:space="preserve">, and red colors, respectively. Darker colors indicate higher compound density at specific points. (C) Density plots </w:t>
      </w:r>
      <w:r w:rsidR="00953647" w:rsidRPr="004C52D9">
        <w:rPr>
          <w:rFonts w:ascii="Times New Roman" w:hAnsi="Times New Roman" w:cs="Times New Roman"/>
          <w:szCs w:val="21"/>
        </w:rPr>
        <w:t>show</w:t>
      </w:r>
      <w:r w:rsidR="00953647">
        <w:rPr>
          <w:rFonts w:ascii="Times New Roman" w:hAnsi="Times New Roman" w:cs="Times New Roman"/>
          <w:szCs w:val="21"/>
        </w:rPr>
        <w:t>s</w:t>
      </w:r>
      <w:r w:rsidR="00953647" w:rsidRPr="004C52D9">
        <w:rPr>
          <w:rFonts w:ascii="Times New Roman" w:hAnsi="Times New Roman" w:cs="Times New Roman"/>
          <w:szCs w:val="21"/>
        </w:rPr>
        <w:t xml:space="preserve"> </w:t>
      </w:r>
      <w:r w:rsidRPr="004C52D9">
        <w:rPr>
          <w:rFonts w:ascii="Times New Roman" w:hAnsi="Times New Roman" w:cs="Times New Roman"/>
          <w:szCs w:val="21"/>
        </w:rPr>
        <w:t>the distribution of chemical structures for the complete dataset (blue) and the regression dataset (red). Darker colors indicate higher compound density at specific points.</w:t>
      </w:r>
    </w:p>
    <w:p w14:paraId="75F05EFC" w14:textId="2A3A1608" w:rsidR="0020202E" w:rsidRPr="004C52D9" w:rsidRDefault="0020202E" w:rsidP="007829B5">
      <w:pPr>
        <w:pStyle w:val="af0"/>
        <w:spacing w:beforeLines="50" w:before="156" w:afterLines="50" w:after="156" w:line="276" w:lineRule="auto"/>
        <w:ind w:firstLineChars="0" w:firstLine="0"/>
        <w:jc w:val="left"/>
        <w:outlineLvl w:val="1"/>
        <w:rPr>
          <w:rFonts w:ascii="Times New Roman" w:hAnsi="Times New Roman" w:cs="Times New Roman"/>
          <w:b/>
          <w:bCs/>
          <w:sz w:val="24"/>
          <w:szCs w:val="24"/>
        </w:rPr>
      </w:pPr>
      <w:r w:rsidRPr="004C52D9">
        <w:rPr>
          <w:rFonts w:ascii="Times New Roman" w:hAnsi="Times New Roman" w:cs="Times New Roman"/>
          <w:b/>
          <w:bCs/>
          <w:sz w:val="24"/>
          <w:szCs w:val="24"/>
        </w:rPr>
        <w:br w:type="page"/>
      </w:r>
      <w:r w:rsidRPr="005C60FF">
        <w:rPr>
          <w:rFonts w:ascii="Times New Roman" w:hAnsi="Times New Roman" w:cs="Times New Roman"/>
          <w:bCs/>
          <w:sz w:val="32"/>
          <w:szCs w:val="24"/>
        </w:rPr>
        <w:lastRenderedPageBreak/>
        <w:t>3.2 Classification-enhanced regression model performance</w:t>
      </w:r>
    </w:p>
    <w:p w14:paraId="2178E1CF" w14:textId="2DD82913" w:rsidR="0020202E" w:rsidRPr="005C60FF" w:rsidRDefault="0020202E" w:rsidP="0020202E">
      <w:pPr>
        <w:pStyle w:val="af0"/>
        <w:spacing w:beforeLines="50" w:before="156" w:afterLines="50" w:after="156" w:line="276" w:lineRule="auto"/>
        <w:ind w:firstLineChars="100" w:firstLine="240"/>
        <w:rPr>
          <w:rFonts w:ascii="Times New Roman" w:hAnsi="Times New Roman" w:cs="Times New Roman"/>
          <w:sz w:val="24"/>
          <w:szCs w:val="21"/>
        </w:rPr>
      </w:pPr>
      <w:r w:rsidRPr="005C60FF">
        <w:rPr>
          <w:rFonts w:ascii="Times New Roman" w:hAnsi="Times New Roman" w:cs="Times New Roman"/>
          <w:sz w:val="24"/>
          <w:szCs w:val="21"/>
        </w:rPr>
        <w:t>Accurate prediction of inhibition activities is crucial for guiding drug design and development processes. Here, we constructed a regression DL model based on 4,395 data with IC</w:t>
      </w:r>
      <w:r w:rsidRPr="005C60FF">
        <w:rPr>
          <w:rFonts w:ascii="Times New Roman" w:hAnsi="Times New Roman" w:cs="Times New Roman"/>
          <w:sz w:val="24"/>
          <w:szCs w:val="21"/>
          <w:vertAlign w:val="subscript"/>
        </w:rPr>
        <w:t>50</w:t>
      </w:r>
      <w:r w:rsidRPr="005C60FF">
        <w:rPr>
          <w:rFonts w:ascii="Times New Roman" w:hAnsi="Times New Roman" w:cs="Times New Roman"/>
          <w:sz w:val="24"/>
          <w:szCs w:val="21"/>
        </w:rPr>
        <w:t xml:space="preserve"> values</w:t>
      </w:r>
      <w:r w:rsidRPr="004C52D9">
        <w:rPr>
          <w:rFonts w:ascii="Times New Roman" w:hAnsi="Times New Roman" w:cs="Times New Roman"/>
          <w:sz w:val="24"/>
          <w:szCs w:val="21"/>
        </w:rPr>
        <w:t xml:space="preserve"> (see </w:t>
      </w:r>
      <w:r w:rsidRPr="00EC45AA">
        <w:rPr>
          <w:rFonts w:ascii="Times New Roman" w:hAnsi="Times New Roman" w:cs="Times New Roman"/>
          <w:sz w:val="24"/>
          <w:szCs w:val="21"/>
        </w:rPr>
        <w:t>Figure S</w:t>
      </w:r>
      <w:r>
        <w:rPr>
          <w:rFonts w:ascii="Times New Roman" w:hAnsi="Times New Roman" w:cs="Times New Roman"/>
          <w:sz w:val="24"/>
          <w:szCs w:val="21"/>
        </w:rPr>
        <w:t>2</w:t>
      </w:r>
      <w:r w:rsidRPr="005C60FF">
        <w:rPr>
          <w:rFonts w:ascii="Times New Roman" w:hAnsi="Times New Roman" w:cs="Times New Roman"/>
          <w:sz w:val="24"/>
          <w:szCs w:val="21"/>
        </w:rPr>
        <w:t xml:space="preserve"> for the </w:t>
      </w:r>
      <w:r>
        <w:rPr>
          <w:rFonts w:ascii="Times New Roman" w:hAnsi="Times New Roman" w:cs="Times New Roman"/>
          <w:sz w:val="24"/>
          <w:szCs w:val="21"/>
        </w:rPr>
        <w:t xml:space="preserve">regression </w:t>
      </w:r>
      <w:r w:rsidRPr="005C60FF">
        <w:rPr>
          <w:rFonts w:ascii="Times New Roman" w:hAnsi="Times New Roman" w:cs="Times New Roman"/>
          <w:sz w:val="24"/>
          <w:szCs w:val="21"/>
        </w:rPr>
        <w:t>model architecture</w:t>
      </w:r>
      <w:r w:rsidRPr="004C52D9">
        <w:rPr>
          <w:rFonts w:ascii="Times New Roman" w:hAnsi="Times New Roman" w:cs="Times New Roman"/>
          <w:sz w:val="24"/>
          <w:szCs w:val="21"/>
        </w:rPr>
        <w:t>)</w:t>
      </w:r>
      <w:r w:rsidRPr="005C60FF">
        <w:rPr>
          <w:rFonts w:ascii="Times New Roman" w:hAnsi="Times New Roman" w:cs="Times New Roman"/>
          <w:sz w:val="24"/>
          <w:szCs w:val="21"/>
        </w:rPr>
        <w:t xml:space="preserve">. To effectively utilize the diverse molecular fingerprints, including substructure-based fingerprints (e.g., MACCS, PubChem fingerprints), linear topology-based fingerprints (e.g., </w:t>
      </w:r>
      <w:proofErr w:type="spellStart"/>
      <w:r w:rsidRPr="005C60FF">
        <w:rPr>
          <w:rFonts w:ascii="Times New Roman" w:hAnsi="Times New Roman" w:cs="Times New Roman"/>
          <w:sz w:val="24"/>
          <w:szCs w:val="21"/>
        </w:rPr>
        <w:t>RDKit</w:t>
      </w:r>
      <w:proofErr w:type="spellEnd"/>
      <w:r w:rsidRPr="005C60FF">
        <w:rPr>
          <w:rFonts w:ascii="Times New Roman" w:hAnsi="Times New Roman" w:cs="Times New Roman"/>
          <w:sz w:val="24"/>
          <w:szCs w:val="21"/>
        </w:rPr>
        <w:t xml:space="preserve"> fingerprints), and circular topology-based fingerprints (e.g., Morgan, FCFP4 fingerprints), we trained </w:t>
      </w:r>
      <w:r w:rsidRPr="004C52D9">
        <w:rPr>
          <w:rFonts w:ascii="Times New Roman" w:hAnsi="Times New Roman" w:cs="Times New Roman"/>
          <w:sz w:val="24"/>
          <w:szCs w:val="21"/>
        </w:rPr>
        <w:t>the regression</w:t>
      </w:r>
      <w:r w:rsidRPr="005C60FF">
        <w:rPr>
          <w:rFonts w:ascii="Times New Roman" w:hAnsi="Times New Roman" w:cs="Times New Roman"/>
          <w:sz w:val="24"/>
          <w:szCs w:val="21"/>
        </w:rPr>
        <w:t xml:space="preserve"> model using 15 standalone molecular fingerprints and 3 </w:t>
      </w:r>
      <w:r w:rsidR="00953647">
        <w:rPr>
          <w:rFonts w:ascii="Times New Roman" w:hAnsi="Times New Roman" w:cs="Times New Roman"/>
          <w:sz w:val="24"/>
          <w:szCs w:val="21"/>
        </w:rPr>
        <w:t xml:space="preserve">coupling </w:t>
      </w:r>
      <w:r w:rsidRPr="005C60FF">
        <w:rPr>
          <w:rFonts w:ascii="Times New Roman" w:hAnsi="Times New Roman" w:cs="Times New Roman"/>
          <w:sz w:val="24"/>
          <w:szCs w:val="21"/>
        </w:rPr>
        <w:t xml:space="preserve">fingerprints. </w:t>
      </w:r>
      <w:r w:rsidRPr="004C52D9">
        <w:rPr>
          <w:rFonts w:ascii="Times New Roman" w:hAnsi="Times New Roman" w:cs="Times New Roman"/>
          <w:sz w:val="24"/>
          <w:szCs w:val="21"/>
        </w:rPr>
        <w:t xml:space="preserve">The </w:t>
      </w:r>
      <w:r w:rsidR="00953647">
        <w:rPr>
          <w:rFonts w:ascii="Times New Roman" w:hAnsi="Times New Roman" w:cs="Times New Roman"/>
          <w:sz w:val="24"/>
          <w:szCs w:val="21"/>
        </w:rPr>
        <w:t xml:space="preserve">coupling </w:t>
      </w:r>
      <w:r w:rsidRPr="004C52D9">
        <w:rPr>
          <w:rFonts w:ascii="Times New Roman" w:hAnsi="Times New Roman" w:cs="Times New Roman"/>
          <w:sz w:val="24"/>
          <w:szCs w:val="21"/>
        </w:rPr>
        <w:t>fingerprints were generated using three splicing strategies, as detailed in the "Materials and Methods" section</w:t>
      </w:r>
      <w:r w:rsidRPr="005C60FF">
        <w:rPr>
          <w:rFonts w:ascii="Times New Roman" w:hAnsi="Times New Roman" w:cs="Times New Roman"/>
          <w:sz w:val="24"/>
          <w:szCs w:val="21"/>
        </w:rPr>
        <w:t>.</w:t>
      </w:r>
      <w:r w:rsidRPr="005C60FF" w:rsidDel="00CA662C">
        <w:rPr>
          <w:rFonts w:ascii="Times New Roman" w:hAnsi="Times New Roman" w:cs="Times New Roman"/>
          <w:sz w:val="24"/>
          <w:szCs w:val="21"/>
        </w:rPr>
        <w:t xml:space="preserve"> </w:t>
      </w:r>
      <w:r w:rsidRPr="004C52D9">
        <w:rPr>
          <w:rFonts w:ascii="Times New Roman" w:hAnsi="Times New Roman" w:cs="Times New Roman"/>
          <w:sz w:val="24"/>
          <w:szCs w:val="21"/>
        </w:rPr>
        <w:t>Our</w:t>
      </w:r>
      <w:r w:rsidRPr="005C60FF">
        <w:rPr>
          <w:rFonts w:ascii="Times New Roman" w:hAnsi="Times New Roman" w:cs="Times New Roman"/>
          <w:sz w:val="24"/>
          <w:szCs w:val="21"/>
        </w:rPr>
        <w:t xml:space="preserve"> results indicated that the </w:t>
      </w:r>
      <w:r w:rsidRPr="004C52D9">
        <w:rPr>
          <w:rFonts w:ascii="Times New Roman" w:hAnsi="Times New Roman" w:cs="Times New Roman"/>
          <w:sz w:val="24"/>
          <w:szCs w:val="21"/>
        </w:rPr>
        <w:t>TOP</w:t>
      </w:r>
      <w:r w:rsidRPr="005C60FF">
        <w:rPr>
          <w:rFonts w:ascii="Times New Roman" w:hAnsi="Times New Roman" w:cs="Times New Roman"/>
          <w:sz w:val="24"/>
          <w:szCs w:val="21"/>
        </w:rPr>
        <w:t xml:space="preserve"> </w:t>
      </w:r>
      <w:r w:rsidR="00953647">
        <w:rPr>
          <w:rFonts w:ascii="Times New Roman" w:hAnsi="Times New Roman" w:cs="Times New Roman"/>
          <w:sz w:val="24"/>
          <w:szCs w:val="21"/>
        </w:rPr>
        <w:t xml:space="preserve">coupling </w:t>
      </w:r>
      <w:r w:rsidRPr="005C60FF">
        <w:rPr>
          <w:rFonts w:ascii="Times New Roman" w:hAnsi="Times New Roman" w:cs="Times New Roman"/>
          <w:sz w:val="24"/>
          <w:szCs w:val="21"/>
        </w:rPr>
        <w:t>fingerprint yielded the best</w:t>
      </w:r>
      <w:r w:rsidRPr="004C52D9">
        <w:rPr>
          <w:rFonts w:ascii="Times New Roman" w:hAnsi="Times New Roman" w:cs="Times New Roman"/>
          <w:sz w:val="24"/>
          <w:szCs w:val="21"/>
        </w:rPr>
        <w:t xml:space="preserve"> performance</w:t>
      </w:r>
      <w:r w:rsidRPr="005C60FF">
        <w:rPr>
          <w:rFonts w:ascii="Times New Roman" w:hAnsi="Times New Roman" w:cs="Times New Roman"/>
          <w:sz w:val="24"/>
          <w:szCs w:val="21"/>
        </w:rPr>
        <w:t xml:space="preserve"> with RMSE of 0.483 and </w:t>
      </w:r>
      <w:r w:rsidRPr="004C52D9">
        <w:rPr>
          <w:rFonts w:ascii="Times New Roman" w:hAnsi="Times New Roman" w:cs="Times New Roman"/>
          <w:sz w:val="24"/>
          <w:szCs w:val="21"/>
        </w:rPr>
        <w:t>R</w:t>
      </w:r>
      <w:r w:rsidRPr="004C52D9">
        <w:rPr>
          <w:rFonts w:ascii="Times New Roman" w:hAnsi="Times New Roman" w:cs="Times New Roman"/>
          <w:sz w:val="24"/>
          <w:szCs w:val="21"/>
          <w:vertAlign w:val="superscript"/>
        </w:rPr>
        <w:t>2</w:t>
      </w:r>
      <w:r w:rsidRPr="005C60FF">
        <w:rPr>
          <w:rFonts w:ascii="Times New Roman" w:hAnsi="Times New Roman" w:cs="Times New Roman"/>
          <w:sz w:val="24"/>
          <w:szCs w:val="21"/>
        </w:rPr>
        <w:t xml:space="preserve"> of 0.734 </w:t>
      </w:r>
      <w:r w:rsidRPr="00A763C1">
        <w:rPr>
          <w:rFonts w:ascii="Times New Roman" w:hAnsi="Times New Roman" w:cs="Times New Roman"/>
          <w:sz w:val="24"/>
          <w:szCs w:val="21"/>
        </w:rPr>
        <w:t>(Table S3 and Table 3).</w:t>
      </w:r>
      <w:r w:rsidRPr="005C60FF">
        <w:rPr>
          <w:rFonts w:ascii="Times New Roman" w:hAnsi="Times New Roman" w:cs="Times New Roman"/>
          <w:sz w:val="24"/>
          <w:szCs w:val="21"/>
        </w:rPr>
        <w:t xml:space="preserve"> </w:t>
      </w:r>
      <w:r w:rsidRPr="004C52D9">
        <w:rPr>
          <w:rFonts w:ascii="Times New Roman" w:hAnsi="Times New Roman" w:cs="Times New Roman"/>
          <w:sz w:val="24"/>
          <w:szCs w:val="21"/>
        </w:rPr>
        <w:t xml:space="preserve">These findings highlight the effectiveness of </w:t>
      </w:r>
      <w:r w:rsidR="00953647">
        <w:rPr>
          <w:rFonts w:ascii="Times New Roman" w:hAnsi="Times New Roman" w:cs="Times New Roman"/>
          <w:sz w:val="24"/>
          <w:szCs w:val="21"/>
        </w:rPr>
        <w:t xml:space="preserve">coupling </w:t>
      </w:r>
      <w:r w:rsidRPr="004C52D9">
        <w:rPr>
          <w:rFonts w:ascii="Times New Roman" w:hAnsi="Times New Roman" w:cs="Times New Roman"/>
          <w:sz w:val="24"/>
          <w:szCs w:val="21"/>
        </w:rPr>
        <w:t>fingerprints by leveraging diverse molecular fingerprints.</w:t>
      </w:r>
    </w:p>
    <w:p w14:paraId="357B8A35" w14:textId="58AC8F6C" w:rsidR="0020202E" w:rsidRPr="004C52D9" w:rsidRDefault="0020202E" w:rsidP="0020202E">
      <w:pPr>
        <w:pStyle w:val="af0"/>
        <w:spacing w:beforeLines="50" w:before="156" w:afterLines="50" w:after="156" w:line="276" w:lineRule="auto"/>
        <w:ind w:firstLineChars="100" w:firstLine="240"/>
        <w:rPr>
          <w:rFonts w:ascii="Times New Roman" w:hAnsi="Times New Roman" w:cs="Times New Roman"/>
          <w:sz w:val="24"/>
          <w:szCs w:val="21"/>
        </w:rPr>
      </w:pPr>
      <w:r w:rsidRPr="005C60FF">
        <w:rPr>
          <w:rFonts w:ascii="Times New Roman" w:hAnsi="Times New Roman" w:cs="Times New Roman"/>
          <w:sz w:val="24"/>
          <w:szCs w:val="21"/>
        </w:rPr>
        <w:t xml:space="preserve">Given a significantly larger set comprising 27,045 classification data and the greater chemical diversity observed in the t-SNE plot (Figure 3C), we proposed to improve the regression performance by incorporating the classification results. </w:t>
      </w:r>
      <w:r w:rsidRPr="004C52D9">
        <w:rPr>
          <w:rFonts w:ascii="Times New Roman" w:hAnsi="Times New Roman" w:cs="Times New Roman"/>
          <w:sz w:val="24"/>
          <w:szCs w:val="21"/>
        </w:rPr>
        <w:t>In parallel,</w:t>
      </w:r>
      <w:r w:rsidRPr="005C60FF">
        <w:rPr>
          <w:rFonts w:ascii="Times New Roman" w:hAnsi="Times New Roman" w:cs="Times New Roman"/>
          <w:sz w:val="24"/>
          <w:szCs w:val="21"/>
        </w:rPr>
        <w:t xml:space="preserve"> we developed a classification predictive model using the </w:t>
      </w:r>
      <w:r w:rsidR="00953647">
        <w:rPr>
          <w:rFonts w:ascii="Times New Roman" w:hAnsi="Times New Roman" w:cs="Times New Roman"/>
          <w:sz w:val="24"/>
          <w:szCs w:val="21"/>
        </w:rPr>
        <w:t xml:space="preserve">coupling </w:t>
      </w:r>
      <w:r w:rsidRPr="005C60FF">
        <w:rPr>
          <w:rFonts w:ascii="Times New Roman" w:hAnsi="Times New Roman" w:cs="Times New Roman"/>
          <w:sz w:val="24"/>
          <w:szCs w:val="21"/>
        </w:rPr>
        <w:t xml:space="preserve">fingerprint and </w:t>
      </w:r>
      <w:r w:rsidRPr="004C52D9">
        <w:rPr>
          <w:rFonts w:ascii="Times New Roman" w:hAnsi="Times New Roman" w:cs="Times New Roman"/>
          <w:sz w:val="24"/>
          <w:szCs w:val="21"/>
        </w:rPr>
        <w:t>convolutional neural network (</w:t>
      </w:r>
      <w:r w:rsidRPr="005C60FF">
        <w:rPr>
          <w:rFonts w:ascii="Times New Roman" w:hAnsi="Times New Roman" w:cs="Times New Roman"/>
          <w:sz w:val="24"/>
          <w:szCs w:val="21"/>
        </w:rPr>
        <w:t>CNN</w:t>
      </w:r>
      <w:r w:rsidRPr="004C52D9">
        <w:rPr>
          <w:rFonts w:ascii="Times New Roman" w:hAnsi="Times New Roman" w:cs="Times New Roman"/>
          <w:sz w:val="24"/>
          <w:szCs w:val="21"/>
        </w:rPr>
        <w:t>) architecture</w:t>
      </w:r>
      <w:r w:rsidRPr="005C60FF">
        <w:rPr>
          <w:rFonts w:ascii="Times New Roman" w:hAnsi="Times New Roman" w:cs="Times New Roman"/>
          <w:sz w:val="24"/>
          <w:szCs w:val="21"/>
        </w:rPr>
        <w:t xml:space="preserve"> </w:t>
      </w:r>
      <w:r w:rsidRPr="00BD5C78">
        <w:rPr>
          <w:rFonts w:ascii="Times New Roman" w:hAnsi="Times New Roman" w:cs="Times New Roman"/>
          <w:sz w:val="24"/>
          <w:szCs w:val="21"/>
        </w:rPr>
        <w:t>(see Figure S</w:t>
      </w:r>
      <w:r>
        <w:rPr>
          <w:rFonts w:ascii="Times New Roman" w:hAnsi="Times New Roman" w:cs="Times New Roman"/>
          <w:sz w:val="24"/>
          <w:szCs w:val="21"/>
        </w:rPr>
        <w:t>2</w:t>
      </w:r>
      <w:r w:rsidRPr="00BD5C78">
        <w:rPr>
          <w:rFonts w:ascii="Times New Roman" w:hAnsi="Times New Roman" w:cs="Times New Roman"/>
          <w:sz w:val="24"/>
          <w:szCs w:val="21"/>
        </w:rPr>
        <w:t xml:space="preserve"> for classification model architecture and Table S4, Table S5</w:t>
      </w:r>
      <w:r>
        <w:rPr>
          <w:rFonts w:ascii="Times New Roman" w:hAnsi="Times New Roman" w:cs="Times New Roman"/>
          <w:sz w:val="24"/>
          <w:szCs w:val="21"/>
        </w:rPr>
        <w:t xml:space="preserve">, </w:t>
      </w:r>
      <w:r w:rsidRPr="00BD5C78">
        <w:rPr>
          <w:rFonts w:ascii="Times New Roman" w:hAnsi="Times New Roman" w:cs="Times New Roman"/>
          <w:sz w:val="24"/>
          <w:szCs w:val="21"/>
        </w:rPr>
        <w:t>and Figure S</w:t>
      </w:r>
      <w:r>
        <w:rPr>
          <w:rFonts w:ascii="Times New Roman" w:hAnsi="Times New Roman" w:cs="Times New Roman"/>
          <w:sz w:val="24"/>
          <w:szCs w:val="21"/>
        </w:rPr>
        <w:t>3</w:t>
      </w:r>
      <w:r w:rsidRPr="00BD5C78">
        <w:rPr>
          <w:rFonts w:ascii="Times New Roman" w:hAnsi="Times New Roman" w:cs="Times New Roman"/>
          <w:sz w:val="24"/>
          <w:szCs w:val="21"/>
        </w:rPr>
        <w:t xml:space="preserve"> for classification model results). </w:t>
      </w:r>
      <w:r w:rsidRPr="004C52D9">
        <w:rPr>
          <w:rFonts w:ascii="Times New Roman" w:hAnsi="Times New Roman" w:cs="Times New Roman"/>
          <w:sz w:val="24"/>
          <w:szCs w:val="21"/>
        </w:rPr>
        <w:t>To assess whether</w:t>
      </w:r>
      <w:bookmarkStart w:id="4" w:name="_Hlk141806898"/>
      <w:r w:rsidRPr="004C52D9">
        <w:rPr>
          <w:rFonts w:ascii="Times New Roman" w:hAnsi="Times New Roman" w:cs="Times New Roman"/>
          <w:sz w:val="24"/>
          <w:szCs w:val="21"/>
        </w:rPr>
        <w:t xml:space="preserve"> the classification model </w:t>
      </w:r>
      <w:bookmarkEnd w:id="4"/>
      <w:r w:rsidRPr="004C52D9">
        <w:rPr>
          <w:rFonts w:ascii="Times New Roman" w:hAnsi="Times New Roman" w:cs="Times New Roman"/>
          <w:sz w:val="24"/>
          <w:szCs w:val="21"/>
        </w:rPr>
        <w:t xml:space="preserve">trained on the larger dataset exhibits better performance and generalization ability, we evaluated both the regression model and the classification model on the regression </w:t>
      </w:r>
      <w:bookmarkStart w:id="5" w:name="_Hlk141806932"/>
      <w:r w:rsidRPr="004C52D9">
        <w:rPr>
          <w:rFonts w:ascii="Times New Roman" w:hAnsi="Times New Roman" w:cs="Times New Roman"/>
          <w:sz w:val="24"/>
          <w:szCs w:val="21"/>
        </w:rPr>
        <w:t>independent test set</w:t>
      </w:r>
      <w:bookmarkEnd w:id="5"/>
      <w:r>
        <w:rPr>
          <w:rFonts w:ascii="Times New Roman" w:hAnsi="Times New Roman" w:cs="Times New Roman"/>
          <w:sz w:val="24"/>
          <w:szCs w:val="21"/>
        </w:rPr>
        <w:t xml:space="preserve"> of 880 samples</w:t>
      </w:r>
      <w:r w:rsidRPr="005C60FF">
        <w:rPr>
          <w:rFonts w:ascii="Times New Roman" w:hAnsi="Times New Roman" w:cs="Times New Roman"/>
          <w:sz w:val="24"/>
          <w:szCs w:val="21"/>
        </w:rPr>
        <w:t>.</w:t>
      </w:r>
      <w:r w:rsidRPr="004C52D9">
        <w:rPr>
          <w:rFonts w:ascii="Times New Roman" w:hAnsi="Times New Roman" w:cs="Times New Roman"/>
          <w:sz w:val="24"/>
          <w:szCs w:val="21"/>
        </w:rPr>
        <w:t xml:space="preserve"> Notably, the classification model exhibited a remarkable improvement in accuracy (ACC = 0.794) compared to the regression model (ACC = 0.5</w:t>
      </w:r>
      <w:r>
        <w:rPr>
          <w:rFonts w:ascii="Times New Roman" w:hAnsi="Times New Roman" w:cs="Times New Roman"/>
          <w:sz w:val="24"/>
          <w:szCs w:val="21"/>
        </w:rPr>
        <w:t>47</w:t>
      </w:r>
      <w:r w:rsidRPr="004C52D9">
        <w:rPr>
          <w:rFonts w:ascii="Times New Roman" w:hAnsi="Times New Roman" w:cs="Times New Roman"/>
          <w:sz w:val="24"/>
          <w:szCs w:val="21"/>
        </w:rPr>
        <w:t xml:space="preserve">, wherein </w:t>
      </w:r>
      <w:bookmarkStart w:id="6" w:name="_Hlk141806965"/>
      <w:r w:rsidRPr="004C52D9">
        <w:rPr>
          <w:rFonts w:ascii="Times New Roman" w:hAnsi="Times New Roman" w:cs="Times New Roman"/>
          <w:sz w:val="24"/>
          <w:szCs w:val="21"/>
        </w:rPr>
        <w:t>the regression results were transformed into binary classification using a threshold of IC</w:t>
      </w:r>
      <w:r w:rsidRPr="005C60FF">
        <w:rPr>
          <w:rFonts w:ascii="Times New Roman" w:hAnsi="Times New Roman" w:cs="Times New Roman"/>
          <w:sz w:val="24"/>
          <w:szCs w:val="21"/>
          <w:vertAlign w:val="subscript"/>
        </w:rPr>
        <w:t>50</w:t>
      </w:r>
      <w:r w:rsidRPr="004C52D9">
        <w:rPr>
          <w:rFonts w:ascii="Times New Roman" w:hAnsi="Times New Roman" w:cs="Times New Roman"/>
          <w:sz w:val="24"/>
          <w:szCs w:val="21"/>
        </w:rPr>
        <w:t xml:space="preserve"> 10 </w:t>
      </w:r>
      <w:proofErr w:type="spellStart"/>
      <w:r w:rsidRPr="004C52D9">
        <w:rPr>
          <w:rFonts w:ascii="Times New Roman" w:hAnsi="Times New Roman" w:cs="Times New Roman"/>
          <w:sz w:val="24"/>
          <w:szCs w:val="21"/>
        </w:rPr>
        <w:t>μM</w:t>
      </w:r>
      <w:bookmarkEnd w:id="6"/>
      <w:proofErr w:type="spellEnd"/>
      <w:r w:rsidRPr="004C52D9">
        <w:rPr>
          <w:rFonts w:ascii="Times New Roman" w:hAnsi="Times New Roman" w:cs="Times New Roman"/>
          <w:sz w:val="24"/>
          <w:szCs w:val="21"/>
        </w:rPr>
        <w:t xml:space="preserve">) </w:t>
      </w:r>
      <w:r w:rsidRPr="00EA6A96">
        <w:rPr>
          <w:rFonts w:ascii="Times New Roman" w:hAnsi="Times New Roman" w:cs="Times New Roman"/>
          <w:sz w:val="24"/>
          <w:szCs w:val="21"/>
        </w:rPr>
        <w:t>(Table S6).</w:t>
      </w:r>
      <w:r w:rsidRPr="005C60FF">
        <w:rPr>
          <w:rFonts w:ascii="Times New Roman" w:hAnsi="Times New Roman" w:cs="Times New Roman"/>
          <w:sz w:val="24"/>
          <w:szCs w:val="21"/>
        </w:rPr>
        <w:t xml:space="preserve"> </w:t>
      </w:r>
    </w:p>
    <w:p w14:paraId="5F71DC15" w14:textId="77777777" w:rsidR="0020202E" w:rsidRPr="005C60FF" w:rsidRDefault="0020202E" w:rsidP="0020202E">
      <w:pPr>
        <w:pStyle w:val="af0"/>
        <w:spacing w:beforeLines="50" w:before="156" w:afterLines="50" w:after="156" w:line="276" w:lineRule="auto"/>
        <w:ind w:firstLineChars="100" w:firstLine="240"/>
        <w:rPr>
          <w:rFonts w:ascii="Times New Roman" w:hAnsi="Times New Roman" w:cs="Times New Roman"/>
          <w:sz w:val="24"/>
          <w:szCs w:val="21"/>
        </w:rPr>
      </w:pPr>
      <w:r w:rsidRPr="004C52D9">
        <w:rPr>
          <w:rFonts w:ascii="Times New Roman" w:hAnsi="Times New Roman" w:cs="Times New Roman"/>
          <w:sz w:val="24"/>
          <w:szCs w:val="21"/>
        </w:rPr>
        <w:t>Encouraged by these promising results,</w:t>
      </w:r>
      <w:r w:rsidRPr="005C60FF">
        <w:rPr>
          <w:rFonts w:ascii="Times New Roman" w:hAnsi="Times New Roman" w:cs="Times New Roman"/>
          <w:sz w:val="24"/>
          <w:szCs w:val="21"/>
        </w:rPr>
        <w:t xml:space="preserve"> we proceeded to integrate the classification outcomes into the regression model</w:t>
      </w:r>
      <w:r w:rsidRPr="004C52D9">
        <w:rPr>
          <w:rFonts w:ascii="Times New Roman" w:hAnsi="Times New Roman" w:cs="Times New Roman"/>
          <w:sz w:val="24"/>
          <w:szCs w:val="21"/>
        </w:rPr>
        <w:t xml:space="preserve"> using various strategies (see Figure S</w:t>
      </w:r>
      <w:r>
        <w:rPr>
          <w:rFonts w:ascii="Times New Roman" w:hAnsi="Times New Roman" w:cs="Times New Roman"/>
          <w:sz w:val="24"/>
          <w:szCs w:val="21"/>
        </w:rPr>
        <w:t>2</w:t>
      </w:r>
      <w:r w:rsidRPr="004C52D9">
        <w:rPr>
          <w:rFonts w:ascii="Times New Roman" w:hAnsi="Times New Roman" w:cs="Times New Roman"/>
          <w:sz w:val="24"/>
          <w:szCs w:val="21"/>
        </w:rPr>
        <w:t xml:space="preserve"> for</w:t>
      </w:r>
      <w:r w:rsidRPr="00397C67">
        <w:rPr>
          <w:rFonts w:ascii="Times New Roman" w:hAnsi="Times New Roman" w:cs="Times New Roman"/>
          <w:sz w:val="24"/>
          <w:szCs w:val="21"/>
        </w:rPr>
        <w:t xml:space="preserve"> three types of model concatenating strategies</w:t>
      </w:r>
      <w:r w:rsidRPr="004C52D9">
        <w:rPr>
          <w:rFonts w:ascii="Times New Roman" w:hAnsi="Times New Roman" w:cs="Times New Roman"/>
          <w:sz w:val="24"/>
          <w:szCs w:val="21"/>
        </w:rPr>
        <w:t xml:space="preserve"> and Table S</w:t>
      </w:r>
      <w:r>
        <w:rPr>
          <w:rFonts w:ascii="Times New Roman" w:hAnsi="Times New Roman" w:cs="Times New Roman"/>
          <w:sz w:val="24"/>
          <w:szCs w:val="21"/>
        </w:rPr>
        <w:t>7</w:t>
      </w:r>
      <w:r w:rsidRPr="004C52D9">
        <w:rPr>
          <w:rFonts w:ascii="Times New Roman" w:hAnsi="Times New Roman" w:cs="Times New Roman"/>
          <w:sz w:val="24"/>
          <w:szCs w:val="21"/>
        </w:rPr>
        <w:t xml:space="preserve"> for the </w:t>
      </w:r>
      <w:r>
        <w:rPr>
          <w:rFonts w:ascii="Times New Roman" w:hAnsi="Times New Roman" w:cs="Times New Roman" w:hint="eastAsia"/>
          <w:sz w:val="24"/>
          <w:szCs w:val="21"/>
        </w:rPr>
        <w:t>corresponding</w:t>
      </w:r>
      <w:r w:rsidRPr="004C52D9">
        <w:rPr>
          <w:rFonts w:ascii="Times New Roman" w:hAnsi="Times New Roman" w:cs="Times New Roman"/>
          <w:sz w:val="24"/>
          <w:szCs w:val="21"/>
        </w:rPr>
        <w:t xml:space="preserve"> results).</w:t>
      </w:r>
      <w:r w:rsidRPr="005C60FF">
        <w:rPr>
          <w:rFonts w:ascii="Times New Roman" w:hAnsi="Times New Roman" w:cs="Times New Roman"/>
        </w:rPr>
        <w:t xml:space="preserve"> </w:t>
      </w:r>
      <w:r w:rsidRPr="004C52D9">
        <w:rPr>
          <w:rFonts w:ascii="Times New Roman" w:hAnsi="Times New Roman" w:cs="Times New Roman"/>
          <w:sz w:val="24"/>
          <w:szCs w:val="21"/>
        </w:rPr>
        <w:t xml:space="preserve">The best performing strategy, as shown in Figure 2, </w:t>
      </w:r>
      <w:r w:rsidRPr="005C60FF">
        <w:rPr>
          <w:rFonts w:ascii="Times New Roman" w:hAnsi="Times New Roman" w:cs="Times New Roman"/>
          <w:sz w:val="24"/>
          <w:szCs w:val="21"/>
        </w:rPr>
        <w:t xml:space="preserve">demonstrated that </w:t>
      </w:r>
      <w:bookmarkStart w:id="7" w:name="_Hlk140525352"/>
      <w:r w:rsidRPr="005C60FF">
        <w:rPr>
          <w:rFonts w:ascii="Times New Roman" w:hAnsi="Times New Roman" w:cs="Times New Roman"/>
          <w:sz w:val="24"/>
          <w:szCs w:val="21"/>
        </w:rPr>
        <w:t>the classification-combined regression model</w:t>
      </w:r>
      <w:bookmarkEnd w:id="7"/>
      <w:r w:rsidRPr="005C60FF">
        <w:rPr>
          <w:rFonts w:ascii="Times New Roman" w:hAnsi="Times New Roman" w:cs="Times New Roman"/>
          <w:sz w:val="24"/>
          <w:szCs w:val="21"/>
        </w:rPr>
        <w:t xml:space="preserve"> </w:t>
      </w:r>
      <w:r w:rsidRPr="004C52D9">
        <w:rPr>
          <w:rFonts w:ascii="Times New Roman" w:hAnsi="Times New Roman" w:cs="Times New Roman"/>
          <w:sz w:val="24"/>
          <w:szCs w:val="21"/>
        </w:rPr>
        <w:t>outperformed</w:t>
      </w:r>
      <w:r w:rsidRPr="005C60FF">
        <w:rPr>
          <w:rFonts w:ascii="Times New Roman" w:hAnsi="Times New Roman" w:cs="Times New Roman"/>
          <w:sz w:val="24"/>
          <w:szCs w:val="21"/>
        </w:rPr>
        <w:t xml:space="preserve"> the regression CNN model, achieving RMSE </w:t>
      </w:r>
      <w:r w:rsidRPr="004C52D9">
        <w:rPr>
          <w:rFonts w:ascii="Times New Roman" w:hAnsi="Times New Roman" w:cs="Times New Roman"/>
          <w:sz w:val="24"/>
          <w:szCs w:val="21"/>
        </w:rPr>
        <w:t>of</w:t>
      </w:r>
      <w:r w:rsidRPr="005C60FF">
        <w:rPr>
          <w:rFonts w:ascii="Times New Roman" w:hAnsi="Times New Roman" w:cs="Times New Roman"/>
          <w:sz w:val="24"/>
          <w:szCs w:val="21"/>
        </w:rPr>
        <w:t xml:space="preserve"> 0.385 and R</w:t>
      </w:r>
      <w:r w:rsidRPr="005C60FF">
        <w:rPr>
          <w:rFonts w:ascii="Times New Roman" w:hAnsi="Times New Roman" w:cs="Times New Roman"/>
          <w:sz w:val="24"/>
          <w:szCs w:val="21"/>
          <w:vertAlign w:val="superscript"/>
        </w:rPr>
        <w:t>2</w:t>
      </w:r>
      <w:r w:rsidRPr="005C60FF">
        <w:rPr>
          <w:rFonts w:ascii="Times New Roman" w:hAnsi="Times New Roman" w:cs="Times New Roman"/>
          <w:sz w:val="24"/>
          <w:szCs w:val="21"/>
        </w:rPr>
        <w:t xml:space="preserve"> value </w:t>
      </w:r>
      <w:r w:rsidRPr="004C52D9">
        <w:rPr>
          <w:rFonts w:ascii="Times New Roman" w:hAnsi="Times New Roman" w:cs="Times New Roman"/>
          <w:sz w:val="24"/>
          <w:szCs w:val="21"/>
        </w:rPr>
        <w:t>of</w:t>
      </w:r>
      <w:r w:rsidRPr="005C60FF">
        <w:rPr>
          <w:rFonts w:ascii="Times New Roman" w:hAnsi="Times New Roman" w:cs="Times New Roman"/>
          <w:sz w:val="24"/>
          <w:szCs w:val="21"/>
        </w:rPr>
        <w:t xml:space="preserve"> 0.831 (Table 3). Moreover, the scatter plot shown in </w:t>
      </w:r>
      <w:r w:rsidRPr="005C60FF">
        <w:rPr>
          <w:rFonts w:ascii="Times New Roman" w:hAnsi="Times New Roman" w:cs="Times New Roman"/>
          <w:bCs/>
          <w:sz w:val="24"/>
          <w:szCs w:val="21"/>
        </w:rPr>
        <w:t>Figure 4</w:t>
      </w:r>
      <w:r w:rsidRPr="005C60FF">
        <w:rPr>
          <w:rFonts w:ascii="Times New Roman" w:hAnsi="Times New Roman" w:cs="Times New Roman"/>
          <w:sz w:val="24"/>
          <w:szCs w:val="21"/>
        </w:rPr>
        <w:t xml:space="preserve"> depicted a more density distribution, indicating that the classification model partially corrected the regression predictions, thereby reducing regression errors. These findings underscore the potential of leveraging </w:t>
      </w:r>
      <w:r>
        <w:rPr>
          <w:rFonts w:ascii="Times New Roman" w:hAnsi="Times New Roman" w:cs="Times New Roman"/>
          <w:sz w:val="24"/>
          <w:szCs w:val="21"/>
        </w:rPr>
        <w:t>a</w:t>
      </w:r>
      <w:r w:rsidRPr="005C60FF">
        <w:rPr>
          <w:rFonts w:ascii="Times New Roman" w:hAnsi="Times New Roman" w:cs="Times New Roman"/>
          <w:sz w:val="24"/>
          <w:szCs w:val="21"/>
        </w:rPr>
        <w:t xml:space="preserve"> larger classification dataset to enhance regression models and provide valuable insights for biological activity modeling.</w:t>
      </w:r>
    </w:p>
    <w:p w14:paraId="2E1500C0" w14:textId="77777777" w:rsidR="0020202E" w:rsidRPr="005C60FF" w:rsidRDefault="0020202E" w:rsidP="0020202E">
      <w:pPr>
        <w:spacing w:line="276" w:lineRule="auto"/>
        <w:jc w:val="center"/>
        <w:rPr>
          <w:rFonts w:ascii="Times New Roman" w:eastAsia="宋体" w:hAnsi="Times New Roman" w:cs="Times New Roman"/>
          <w:szCs w:val="24"/>
        </w:rPr>
      </w:pPr>
      <w:r w:rsidRPr="005C60FF">
        <w:rPr>
          <w:rFonts w:ascii="Times New Roman" w:eastAsia="宋体" w:hAnsi="Times New Roman" w:cs="Times New Roman"/>
          <w:szCs w:val="24"/>
        </w:rPr>
        <w:t>Table 3. Performance of regression models and the classification-combined regression model</w:t>
      </w:r>
      <w:r w:rsidRPr="004C52D9">
        <w:rPr>
          <w:rFonts w:ascii="Times New Roman" w:eastAsia="宋体" w:hAnsi="Times New Roman" w:cs="Times New Roman"/>
          <w:szCs w:val="24"/>
        </w:rPr>
        <w:t>.</w:t>
      </w:r>
    </w:p>
    <w:tbl>
      <w:tblPr>
        <w:tblW w:w="9052" w:type="dxa"/>
        <w:tblInd w:w="-142" w:type="dxa"/>
        <w:tblLook w:val="04A0" w:firstRow="1" w:lastRow="0" w:firstColumn="1" w:lastColumn="0" w:noHBand="0" w:noVBand="1"/>
      </w:tblPr>
      <w:tblGrid>
        <w:gridCol w:w="142"/>
        <w:gridCol w:w="1843"/>
        <w:gridCol w:w="1025"/>
        <w:gridCol w:w="1281"/>
        <w:gridCol w:w="1281"/>
        <w:gridCol w:w="1281"/>
        <w:gridCol w:w="1281"/>
        <w:gridCol w:w="918"/>
      </w:tblGrid>
      <w:tr w:rsidR="0020202E" w:rsidRPr="004C52D9" w14:paraId="3253B646" w14:textId="77777777" w:rsidTr="007C16F6">
        <w:trPr>
          <w:trHeight w:val="429"/>
        </w:trPr>
        <w:tc>
          <w:tcPr>
            <w:tcW w:w="1985" w:type="dxa"/>
            <w:gridSpan w:val="2"/>
            <w:tcBorders>
              <w:top w:val="single" w:sz="8" w:space="0" w:color="000000"/>
              <w:left w:val="nil"/>
              <w:bottom w:val="single" w:sz="4" w:space="0" w:color="auto"/>
              <w:right w:val="nil"/>
            </w:tcBorders>
            <w:shd w:val="clear" w:color="auto" w:fill="auto"/>
            <w:vAlign w:val="center"/>
            <w:hideMark/>
          </w:tcPr>
          <w:p w14:paraId="76CA8789" w14:textId="77777777" w:rsidR="0020202E" w:rsidRPr="005C60FF" w:rsidRDefault="0020202E" w:rsidP="007C16F6">
            <w:pPr>
              <w:widowControl/>
              <w:jc w:val="center"/>
              <w:rPr>
                <w:rFonts w:ascii="Times New Roman" w:eastAsia="等线" w:hAnsi="Times New Roman" w:cs="Times New Roman"/>
                <w:color w:val="000000"/>
                <w:kern w:val="0"/>
              </w:rPr>
            </w:pPr>
            <w:r>
              <w:rPr>
                <w:rFonts w:ascii="Times New Roman" w:eastAsia="等线" w:hAnsi="Times New Roman" w:cs="Times New Roman"/>
                <w:color w:val="000000"/>
                <w:kern w:val="0"/>
              </w:rPr>
              <w:lastRenderedPageBreak/>
              <w:t>Splicing</w:t>
            </w:r>
            <w:r w:rsidRPr="005C60FF">
              <w:rPr>
                <w:rFonts w:ascii="Times New Roman" w:eastAsia="等线" w:hAnsi="Times New Roman" w:cs="Times New Roman"/>
                <w:color w:val="000000"/>
                <w:kern w:val="0"/>
              </w:rPr>
              <w:t xml:space="preserve"> </w:t>
            </w:r>
            <w:r>
              <w:rPr>
                <w:rFonts w:ascii="Times New Roman" w:eastAsia="等线" w:hAnsi="Times New Roman" w:cs="Times New Roman"/>
                <w:color w:val="000000"/>
                <w:kern w:val="0"/>
              </w:rPr>
              <w:t>Mode</w:t>
            </w:r>
            <w:r w:rsidRPr="004C52D9">
              <w:rPr>
                <w:rFonts w:ascii="Times New Roman" w:hAnsi="Times New Roman" w:cs="Times New Roman"/>
                <w:i/>
                <w:iCs/>
                <w:szCs w:val="21"/>
                <w:vertAlign w:val="superscript"/>
              </w:rPr>
              <w:t>*</w:t>
            </w:r>
          </w:p>
        </w:tc>
        <w:tc>
          <w:tcPr>
            <w:tcW w:w="1025" w:type="dxa"/>
            <w:tcBorders>
              <w:top w:val="single" w:sz="8" w:space="0" w:color="000000"/>
              <w:left w:val="nil"/>
              <w:bottom w:val="single" w:sz="4" w:space="0" w:color="auto"/>
              <w:right w:val="nil"/>
            </w:tcBorders>
            <w:shd w:val="clear" w:color="auto" w:fill="auto"/>
            <w:vAlign w:val="center"/>
            <w:hideMark/>
          </w:tcPr>
          <w:p w14:paraId="52BE7F0A"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RMSE</w:t>
            </w:r>
          </w:p>
        </w:tc>
        <w:tc>
          <w:tcPr>
            <w:tcW w:w="1281" w:type="dxa"/>
            <w:tcBorders>
              <w:top w:val="single" w:sz="8" w:space="0" w:color="000000"/>
              <w:left w:val="nil"/>
              <w:bottom w:val="single" w:sz="4" w:space="0" w:color="auto"/>
              <w:right w:val="nil"/>
            </w:tcBorders>
            <w:shd w:val="clear" w:color="auto" w:fill="auto"/>
            <w:vAlign w:val="center"/>
            <w:hideMark/>
          </w:tcPr>
          <w:p w14:paraId="711C8E9A"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R</w:t>
            </w:r>
          </w:p>
        </w:tc>
        <w:tc>
          <w:tcPr>
            <w:tcW w:w="1281" w:type="dxa"/>
            <w:tcBorders>
              <w:top w:val="single" w:sz="8" w:space="0" w:color="000000"/>
              <w:left w:val="nil"/>
              <w:bottom w:val="single" w:sz="4" w:space="0" w:color="auto"/>
              <w:right w:val="nil"/>
            </w:tcBorders>
            <w:shd w:val="clear" w:color="auto" w:fill="auto"/>
            <w:vAlign w:val="center"/>
            <w:hideMark/>
          </w:tcPr>
          <w:p w14:paraId="6F97A054"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R</w:t>
            </w:r>
            <w:r w:rsidRPr="005C60FF">
              <w:rPr>
                <w:rFonts w:ascii="Times New Roman" w:eastAsia="等线" w:hAnsi="Times New Roman" w:cs="Times New Roman"/>
                <w:color w:val="000000"/>
                <w:kern w:val="0"/>
                <w:vertAlign w:val="superscript"/>
              </w:rPr>
              <w:t>2</w:t>
            </w:r>
          </w:p>
        </w:tc>
        <w:tc>
          <w:tcPr>
            <w:tcW w:w="1281" w:type="dxa"/>
            <w:tcBorders>
              <w:top w:val="single" w:sz="8" w:space="0" w:color="000000"/>
              <w:left w:val="nil"/>
              <w:bottom w:val="single" w:sz="4" w:space="0" w:color="auto"/>
              <w:right w:val="nil"/>
            </w:tcBorders>
            <w:shd w:val="clear" w:color="auto" w:fill="auto"/>
            <w:vAlign w:val="center"/>
            <w:hideMark/>
          </w:tcPr>
          <w:p w14:paraId="26EEB66C"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Epistemic</w:t>
            </w:r>
          </w:p>
        </w:tc>
        <w:tc>
          <w:tcPr>
            <w:tcW w:w="1281" w:type="dxa"/>
            <w:tcBorders>
              <w:top w:val="single" w:sz="8" w:space="0" w:color="000000"/>
              <w:left w:val="nil"/>
              <w:bottom w:val="single" w:sz="4" w:space="0" w:color="auto"/>
              <w:right w:val="nil"/>
            </w:tcBorders>
            <w:shd w:val="clear" w:color="auto" w:fill="auto"/>
            <w:vAlign w:val="center"/>
            <w:hideMark/>
          </w:tcPr>
          <w:p w14:paraId="2ED9031C"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Aleatoric</w:t>
            </w:r>
          </w:p>
        </w:tc>
        <w:tc>
          <w:tcPr>
            <w:tcW w:w="918" w:type="dxa"/>
            <w:tcBorders>
              <w:top w:val="single" w:sz="8" w:space="0" w:color="000000"/>
              <w:left w:val="nil"/>
              <w:bottom w:val="single" w:sz="4" w:space="0" w:color="auto"/>
              <w:right w:val="nil"/>
            </w:tcBorders>
            <w:shd w:val="clear" w:color="auto" w:fill="auto"/>
            <w:vAlign w:val="center"/>
            <w:hideMark/>
          </w:tcPr>
          <w:p w14:paraId="565913A6"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Total</w:t>
            </w:r>
          </w:p>
        </w:tc>
      </w:tr>
      <w:tr w:rsidR="0020202E" w:rsidRPr="004C52D9" w14:paraId="7BCC77AE" w14:textId="77777777" w:rsidTr="007C16F6">
        <w:trPr>
          <w:trHeight w:val="429"/>
        </w:trPr>
        <w:tc>
          <w:tcPr>
            <w:tcW w:w="1985" w:type="dxa"/>
            <w:gridSpan w:val="2"/>
            <w:tcBorders>
              <w:top w:val="nil"/>
              <w:left w:val="nil"/>
              <w:bottom w:val="nil"/>
              <w:right w:val="nil"/>
            </w:tcBorders>
            <w:shd w:val="clear" w:color="auto" w:fill="auto"/>
            <w:vAlign w:val="center"/>
            <w:hideMark/>
          </w:tcPr>
          <w:p w14:paraId="508475A5"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TOP</w:t>
            </w:r>
          </w:p>
        </w:tc>
        <w:tc>
          <w:tcPr>
            <w:tcW w:w="1025" w:type="dxa"/>
            <w:tcBorders>
              <w:top w:val="nil"/>
              <w:left w:val="nil"/>
              <w:bottom w:val="nil"/>
              <w:right w:val="nil"/>
            </w:tcBorders>
            <w:shd w:val="clear" w:color="auto" w:fill="auto"/>
            <w:vAlign w:val="center"/>
            <w:hideMark/>
          </w:tcPr>
          <w:p w14:paraId="04A20918"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0.483</w:t>
            </w:r>
          </w:p>
        </w:tc>
        <w:tc>
          <w:tcPr>
            <w:tcW w:w="1281" w:type="dxa"/>
            <w:tcBorders>
              <w:top w:val="nil"/>
              <w:left w:val="nil"/>
              <w:bottom w:val="nil"/>
              <w:right w:val="nil"/>
            </w:tcBorders>
            <w:shd w:val="clear" w:color="auto" w:fill="auto"/>
            <w:vAlign w:val="center"/>
            <w:hideMark/>
          </w:tcPr>
          <w:p w14:paraId="5743A280"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0.858</w:t>
            </w:r>
          </w:p>
        </w:tc>
        <w:tc>
          <w:tcPr>
            <w:tcW w:w="1281" w:type="dxa"/>
            <w:tcBorders>
              <w:top w:val="nil"/>
              <w:left w:val="nil"/>
              <w:bottom w:val="nil"/>
              <w:right w:val="nil"/>
            </w:tcBorders>
            <w:shd w:val="clear" w:color="auto" w:fill="auto"/>
            <w:vAlign w:val="center"/>
            <w:hideMark/>
          </w:tcPr>
          <w:p w14:paraId="58BDFEF6"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0.734</w:t>
            </w:r>
          </w:p>
        </w:tc>
        <w:tc>
          <w:tcPr>
            <w:tcW w:w="1281" w:type="dxa"/>
            <w:tcBorders>
              <w:top w:val="nil"/>
              <w:left w:val="nil"/>
              <w:bottom w:val="nil"/>
              <w:right w:val="nil"/>
            </w:tcBorders>
            <w:shd w:val="clear" w:color="auto" w:fill="auto"/>
            <w:vAlign w:val="center"/>
            <w:hideMark/>
          </w:tcPr>
          <w:p w14:paraId="0BEB03E1"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0.337</w:t>
            </w:r>
          </w:p>
        </w:tc>
        <w:tc>
          <w:tcPr>
            <w:tcW w:w="1281" w:type="dxa"/>
            <w:tcBorders>
              <w:top w:val="nil"/>
              <w:left w:val="nil"/>
              <w:bottom w:val="nil"/>
              <w:right w:val="nil"/>
            </w:tcBorders>
            <w:shd w:val="clear" w:color="auto" w:fill="auto"/>
            <w:vAlign w:val="center"/>
            <w:hideMark/>
          </w:tcPr>
          <w:p w14:paraId="5200806A"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0.279</w:t>
            </w:r>
          </w:p>
        </w:tc>
        <w:tc>
          <w:tcPr>
            <w:tcW w:w="918" w:type="dxa"/>
            <w:tcBorders>
              <w:top w:val="nil"/>
              <w:left w:val="nil"/>
              <w:bottom w:val="nil"/>
              <w:right w:val="nil"/>
            </w:tcBorders>
            <w:shd w:val="clear" w:color="auto" w:fill="auto"/>
            <w:vAlign w:val="center"/>
            <w:hideMark/>
          </w:tcPr>
          <w:p w14:paraId="784B4CC1"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0.616</w:t>
            </w:r>
          </w:p>
        </w:tc>
      </w:tr>
      <w:tr w:rsidR="0020202E" w:rsidRPr="004C52D9" w14:paraId="6C1BAA1F" w14:textId="77777777" w:rsidTr="007C16F6">
        <w:trPr>
          <w:trHeight w:val="429"/>
        </w:trPr>
        <w:tc>
          <w:tcPr>
            <w:tcW w:w="1985" w:type="dxa"/>
            <w:gridSpan w:val="2"/>
            <w:tcBorders>
              <w:top w:val="nil"/>
              <w:left w:val="nil"/>
              <w:bottom w:val="nil"/>
              <w:right w:val="nil"/>
            </w:tcBorders>
            <w:shd w:val="clear" w:color="auto" w:fill="auto"/>
            <w:vAlign w:val="center"/>
            <w:hideMark/>
          </w:tcPr>
          <w:p w14:paraId="6E1839E1"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GL</w:t>
            </w:r>
          </w:p>
        </w:tc>
        <w:tc>
          <w:tcPr>
            <w:tcW w:w="1025" w:type="dxa"/>
            <w:tcBorders>
              <w:top w:val="nil"/>
              <w:left w:val="nil"/>
              <w:bottom w:val="nil"/>
              <w:right w:val="nil"/>
            </w:tcBorders>
            <w:shd w:val="clear" w:color="auto" w:fill="auto"/>
            <w:vAlign w:val="center"/>
            <w:hideMark/>
          </w:tcPr>
          <w:p w14:paraId="32716DB1"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0.711</w:t>
            </w:r>
          </w:p>
        </w:tc>
        <w:tc>
          <w:tcPr>
            <w:tcW w:w="1281" w:type="dxa"/>
            <w:tcBorders>
              <w:top w:val="nil"/>
              <w:left w:val="nil"/>
              <w:bottom w:val="nil"/>
              <w:right w:val="nil"/>
            </w:tcBorders>
            <w:shd w:val="clear" w:color="auto" w:fill="auto"/>
            <w:vAlign w:val="center"/>
            <w:hideMark/>
          </w:tcPr>
          <w:p w14:paraId="4489EA01"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0.655</w:t>
            </w:r>
          </w:p>
        </w:tc>
        <w:tc>
          <w:tcPr>
            <w:tcW w:w="1281" w:type="dxa"/>
            <w:tcBorders>
              <w:top w:val="nil"/>
              <w:left w:val="nil"/>
              <w:bottom w:val="nil"/>
              <w:right w:val="nil"/>
            </w:tcBorders>
            <w:shd w:val="clear" w:color="auto" w:fill="auto"/>
            <w:vAlign w:val="center"/>
            <w:hideMark/>
          </w:tcPr>
          <w:p w14:paraId="79E305DF"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0.428</w:t>
            </w:r>
          </w:p>
        </w:tc>
        <w:tc>
          <w:tcPr>
            <w:tcW w:w="1281" w:type="dxa"/>
            <w:tcBorders>
              <w:top w:val="nil"/>
              <w:left w:val="nil"/>
              <w:bottom w:val="nil"/>
              <w:right w:val="nil"/>
            </w:tcBorders>
            <w:shd w:val="clear" w:color="auto" w:fill="auto"/>
            <w:vAlign w:val="center"/>
            <w:hideMark/>
          </w:tcPr>
          <w:p w14:paraId="1565303A"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0.526</w:t>
            </w:r>
          </w:p>
        </w:tc>
        <w:tc>
          <w:tcPr>
            <w:tcW w:w="1281" w:type="dxa"/>
            <w:tcBorders>
              <w:top w:val="nil"/>
              <w:left w:val="nil"/>
              <w:bottom w:val="nil"/>
              <w:right w:val="nil"/>
            </w:tcBorders>
            <w:shd w:val="clear" w:color="auto" w:fill="auto"/>
            <w:vAlign w:val="center"/>
            <w:hideMark/>
          </w:tcPr>
          <w:p w14:paraId="65F7F06B"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0.486</w:t>
            </w:r>
          </w:p>
        </w:tc>
        <w:tc>
          <w:tcPr>
            <w:tcW w:w="918" w:type="dxa"/>
            <w:tcBorders>
              <w:top w:val="nil"/>
              <w:left w:val="nil"/>
              <w:bottom w:val="nil"/>
              <w:right w:val="nil"/>
            </w:tcBorders>
            <w:shd w:val="clear" w:color="auto" w:fill="auto"/>
            <w:vAlign w:val="center"/>
            <w:hideMark/>
          </w:tcPr>
          <w:p w14:paraId="73CF206B"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1.012</w:t>
            </w:r>
          </w:p>
        </w:tc>
      </w:tr>
      <w:tr w:rsidR="0020202E" w:rsidRPr="004C52D9" w14:paraId="3A582245" w14:textId="77777777" w:rsidTr="007C16F6">
        <w:trPr>
          <w:trHeight w:val="429"/>
        </w:trPr>
        <w:tc>
          <w:tcPr>
            <w:tcW w:w="1985" w:type="dxa"/>
            <w:gridSpan w:val="2"/>
            <w:tcBorders>
              <w:top w:val="nil"/>
              <w:left w:val="nil"/>
              <w:bottom w:val="nil"/>
              <w:right w:val="nil"/>
            </w:tcBorders>
            <w:shd w:val="clear" w:color="auto" w:fill="auto"/>
            <w:vAlign w:val="center"/>
            <w:hideMark/>
          </w:tcPr>
          <w:p w14:paraId="7C5A4DD6"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PCC</w:t>
            </w:r>
          </w:p>
        </w:tc>
        <w:tc>
          <w:tcPr>
            <w:tcW w:w="1025" w:type="dxa"/>
            <w:tcBorders>
              <w:top w:val="nil"/>
              <w:left w:val="nil"/>
              <w:bottom w:val="nil"/>
              <w:right w:val="nil"/>
            </w:tcBorders>
            <w:shd w:val="clear" w:color="auto" w:fill="auto"/>
            <w:vAlign w:val="center"/>
            <w:hideMark/>
          </w:tcPr>
          <w:p w14:paraId="2F68FE35"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0.712</w:t>
            </w:r>
          </w:p>
        </w:tc>
        <w:tc>
          <w:tcPr>
            <w:tcW w:w="1281" w:type="dxa"/>
            <w:tcBorders>
              <w:top w:val="nil"/>
              <w:left w:val="nil"/>
              <w:bottom w:val="nil"/>
              <w:right w:val="nil"/>
            </w:tcBorders>
            <w:shd w:val="clear" w:color="auto" w:fill="auto"/>
            <w:vAlign w:val="center"/>
            <w:hideMark/>
          </w:tcPr>
          <w:p w14:paraId="69ED0DA5"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0.657</w:t>
            </w:r>
          </w:p>
        </w:tc>
        <w:tc>
          <w:tcPr>
            <w:tcW w:w="1281" w:type="dxa"/>
            <w:tcBorders>
              <w:top w:val="nil"/>
              <w:left w:val="nil"/>
              <w:bottom w:val="nil"/>
              <w:right w:val="nil"/>
            </w:tcBorders>
            <w:shd w:val="clear" w:color="auto" w:fill="auto"/>
            <w:vAlign w:val="center"/>
            <w:hideMark/>
          </w:tcPr>
          <w:p w14:paraId="46315D57"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0.427</w:t>
            </w:r>
          </w:p>
        </w:tc>
        <w:tc>
          <w:tcPr>
            <w:tcW w:w="1281" w:type="dxa"/>
            <w:tcBorders>
              <w:top w:val="nil"/>
              <w:left w:val="nil"/>
              <w:bottom w:val="nil"/>
              <w:right w:val="nil"/>
            </w:tcBorders>
            <w:shd w:val="clear" w:color="auto" w:fill="auto"/>
            <w:vAlign w:val="center"/>
            <w:hideMark/>
          </w:tcPr>
          <w:p w14:paraId="6ED6A9BF"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0.677</w:t>
            </w:r>
          </w:p>
        </w:tc>
        <w:tc>
          <w:tcPr>
            <w:tcW w:w="1281" w:type="dxa"/>
            <w:tcBorders>
              <w:top w:val="nil"/>
              <w:left w:val="nil"/>
              <w:bottom w:val="nil"/>
              <w:right w:val="nil"/>
            </w:tcBorders>
            <w:shd w:val="clear" w:color="auto" w:fill="auto"/>
            <w:vAlign w:val="center"/>
            <w:hideMark/>
          </w:tcPr>
          <w:p w14:paraId="3C3AE7BE"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0.569</w:t>
            </w:r>
          </w:p>
        </w:tc>
        <w:tc>
          <w:tcPr>
            <w:tcW w:w="918" w:type="dxa"/>
            <w:tcBorders>
              <w:top w:val="nil"/>
              <w:left w:val="nil"/>
              <w:bottom w:val="nil"/>
              <w:right w:val="nil"/>
            </w:tcBorders>
            <w:shd w:val="clear" w:color="auto" w:fill="auto"/>
            <w:vAlign w:val="center"/>
            <w:hideMark/>
          </w:tcPr>
          <w:p w14:paraId="3AD93878" w14:textId="77777777" w:rsidR="0020202E" w:rsidRPr="005C60FF" w:rsidRDefault="0020202E" w:rsidP="007C16F6">
            <w:pPr>
              <w:widowControl/>
              <w:jc w:val="center"/>
              <w:rPr>
                <w:rFonts w:ascii="Times New Roman" w:eastAsia="等线" w:hAnsi="Times New Roman" w:cs="Times New Roman"/>
                <w:color w:val="000000"/>
                <w:kern w:val="0"/>
              </w:rPr>
            </w:pPr>
            <w:r w:rsidRPr="005C60FF">
              <w:rPr>
                <w:rFonts w:ascii="Times New Roman" w:eastAsia="等线" w:hAnsi="Times New Roman" w:cs="Times New Roman"/>
                <w:color w:val="000000"/>
                <w:kern w:val="0"/>
              </w:rPr>
              <w:t>1.246</w:t>
            </w:r>
          </w:p>
        </w:tc>
      </w:tr>
      <w:tr w:rsidR="0020202E" w:rsidRPr="004C52D9" w14:paraId="145A3F6F" w14:textId="77777777" w:rsidTr="00D3024A">
        <w:trPr>
          <w:gridBefore w:val="1"/>
          <w:wBefore w:w="142" w:type="dxa"/>
          <w:trHeight w:val="429"/>
        </w:trPr>
        <w:tc>
          <w:tcPr>
            <w:tcW w:w="1843" w:type="dxa"/>
            <w:tcBorders>
              <w:top w:val="nil"/>
              <w:left w:val="nil"/>
              <w:bottom w:val="single" w:sz="8" w:space="0" w:color="000000"/>
              <w:right w:val="nil"/>
            </w:tcBorders>
            <w:shd w:val="clear" w:color="auto" w:fill="auto"/>
            <w:vAlign w:val="center"/>
            <w:hideMark/>
          </w:tcPr>
          <w:p w14:paraId="62278044"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CL + TOP</w:t>
            </w:r>
          </w:p>
        </w:tc>
        <w:tc>
          <w:tcPr>
            <w:tcW w:w="1025" w:type="dxa"/>
            <w:tcBorders>
              <w:top w:val="nil"/>
              <w:left w:val="nil"/>
              <w:bottom w:val="single" w:sz="8" w:space="0" w:color="000000"/>
              <w:right w:val="nil"/>
            </w:tcBorders>
            <w:shd w:val="clear" w:color="auto" w:fill="auto"/>
            <w:vAlign w:val="center"/>
            <w:hideMark/>
          </w:tcPr>
          <w:p w14:paraId="20708A52"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0.385</w:t>
            </w:r>
          </w:p>
        </w:tc>
        <w:tc>
          <w:tcPr>
            <w:tcW w:w="1281" w:type="dxa"/>
            <w:tcBorders>
              <w:top w:val="nil"/>
              <w:left w:val="nil"/>
              <w:bottom w:val="single" w:sz="8" w:space="0" w:color="000000"/>
              <w:right w:val="nil"/>
            </w:tcBorders>
            <w:shd w:val="clear" w:color="auto" w:fill="auto"/>
            <w:vAlign w:val="center"/>
            <w:hideMark/>
          </w:tcPr>
          <w:p w14:paraId="1877288F"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0.916</w:t>
            </w:r>
          </w:p>
        </w:tc>
        <w:tc>
          <w:tcPr>
            <w:tcW w:w="1281" w:type="dxa"/>
            <w:tcBorders>
              <w:top w:val="nil"/>
              <w:left w:val="nil"/>
              <w:bottom w:val="single" w:sz="8" w:space="0" w:color="000000"/>
              <w:right w:val="nil"/>
            </w:tcBorders>
            <w:shd w:val="clear" w:color="auto" w:fill="auto"/>
            <w:vAlign w:val="center"/>
            <w:hideMark/>
          </w:tcPr>
          <w:p w14:paraId="2E5BB557"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0.831</w:t>
            </w:r>
          </w:p>
        </w:tc>
        <w:tc>
          <w:tcPr>
            <w:tcW w:w="1281" w:type="dxa"/>
            <w:tcBorders>
              <w:top w:val="nil"/>
              <w:left w:val="nil"/>
              <w:bottom w:val="single" w:sz="8" w:space="0" w:color="000000"/>
              <w:right w:val="nil"/>
            </w:tcBorders>
            <w:shd w:val="clear" w:color="auto" w:fill="auto"/>
            <w:vAlign w:val="center"/>
            <w:hideMark/>
          </w:tcPr>
          <w:p w14:paraId="0F4897B6"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0.234</w:t>
            </w:r>
          </w:p>
        </w:tc>
        <w:tc>
          <w:tcPr>
            <w:tcW w:w="1281" w:type="dxa"/>
            <w:tcBorders>
              <w:top w:val="nil"/>
              <w:left w:val="nil"/>
              <w:bottom w:val="single" w:sz="8" w:space="0" w:color="000000"/>
              <w:right w:val="nil"/>
            </w:tcBorders>
            <w:shd w:val="clear" w:color="auto" w:fill="auto"/>
            <w:vAlign w:val="center"/>
            <w:hideMark/>
          </w:tcPr>
          <w:p w14:paraId="6EF0D112"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0.219</w:t>
            </w:r>
          </w:p>
        </w:tc>
        <w:tc>
          <w:tcPr>
            <w:tcW w:w="918" w:type="dxa"/>
            <w:tcBorders>
              <w:top w:val="nil"/>
              <w:left w:val="nil"/>
              <w:bottom w:val="single" w:sz="8" w:space="0" w:color="000000"/>
              <w:right w:val="nil"/>
            </w:tcBorders>
            <w:shd w:val="clear" w:color="auto" w:fill="auto"/>
            <w:vAlign w:val="center"/>
            <w:hideMark/>
          </w:tcPr>
          <w:p w14:paraId="279182F9" w14:textId="77777777" w:rsidR="0020202E" w:rsidRPr="005C60FF" w:rsidRDefault="0020202E" w:rsidP="007C16F6">
            <w:pPr>
              <w:widowControl/>
              <w:jc w:val="center"/>
              <w:rPr>
                <w:rFonts w:ascii="Times New Roman" w:eastAsia="等线" w:hAnsi="Times New Roman" w:cs="Times New Roman"/>
                <w:b/>
                <w:bCs/>
                <w:color w:val="000000"/>
                <w:kern w:val="0"/>
              </w:rPr>
            </w:pPr>
            <w:r w:rsidRPr="005C60FF">
              <w:rPr>
                <w:rFonts w:ascii="Times New Roman" w:eastAsia="等线" w:hAnsi="Times New Roman" w:cs="Times New Roman"/>
                <w:b/>
                <w:bCs/>
                <w:color w:val="000000"/>
                <w:kern w:val="0"/>
              </w:rPr>
              <w:t>0.453</w:t>
            </w:r>
          </w:p>
        </w:tc>
      </w:tr>
    </w:tbl>
    <w:p w14:paraId="654048E8" w14:textId="77777777" w:rsidR="0020202E" w:rsidRPr="004C52D9" w:rsidRDefault="0020202E" w:rsidP="0020202E">
      <w:pPr>
        <w:spacing w:line="276" w:lineRule="auto"/>
        <w:rPr>
          <w:rFonts w:ascii="Times New Roman" w:eastAsia="宋体" w:hAnsi="Times New Roman" w:cs="Times New Roman"/>
          <w:szCs w:val="21"/>
        </w:rPr>
      </w:pPr>
      <w:bookmarkStart w:id="8" w:name="_Hlk141807608"/>
      <w:r w:rsidRPr="005C60FF">
        <w:rPr>
          <w:rFonts w:ascii="Times New Roman" w:hAnsi="Times New Roman" w:cs="Times New Roman"/>
          <w:i/>
          <w:iCs/>
          <w:sz w:val="18"/>
          <w:szCs w:val="18"/>
          <w:vertAlign w:val="superscript"/>
        </w:rPr>
        <w:t>*</w:t>
      </w:r>
      <w:r w:rsidRPr="005C60FF">
        <w:rPr>
          <w:rFonts w:ascii="Times New Roman" w:hAnsi="Times New Roman" w:cs="Times New Roman"/>
          <w:iCs/>
          <w:sz w:val="18"/>
          <w:szCs w:val="18"/>
          <w:vertAlign w:val="superscript"/>
        </w:rPr>
        <w:t xml:space="preserve"> </w:t>
      </w:r>
      <w:bookmarkStart w:id="9" w:name="_Hlk141806733"/>
      <w:r w:rsidRPr="005C60FF">
        <w:rPr>
          <w:rFonts w:ascii="Times New Roman" w:eastAsia="宋体" w:hAnsi="Times New Roman" w:cs="Times New Roman"/>
          <w:sz w:val="18"/>
          <w:szCs w:val="18"/>
        </w:rPr>
        <w:t xml:space="preserve">TOP refers to </w:t>
      </w:r>
      <w:r w:rsidRPr="005C60FF">
        <w:rPr>
          <w:rFonts w:ascii="Times New Roman" w:hAnsi="Times New Roman" w:cs="Times New Roman"/>
          <w:sz w:val="18"/>
          <w:szCs w:val="18"/>
        </w:rPr>
        <w:t xml:space="preserve">the top-performing two single fingerprints splicing </w:t>
      </w:r>
      <w:r>
        <w:rPr>
          <w:rFonts w:ascii="Times New Roman" w:hAnsi="Times New Roman" w:cs="Times New Roman"/>
          <w:sz w:val="18"/>
          <w:szCs w:val="18"/>
        </w:rPr>
        <w:t>mode</w:t>
      </w:r>
      <w:r w:rsidRPr="005C60FF">
        <w:rPr>
          <w:rFonts w:ascii="Times New Roman" w:eastAsia="宋体" w:hAnsi="Times New Roman" w:cs="Times New Roman"/>
          <w:sz w:val="18"/>
          <w:szCs w:val="18"/>
        </w:rPr>
        <w:t xml:space="preserve">. GL refers to </w:t>
      </w:r>
      <w:r w:rsidRPr="005C60FF">
        <w:rPr>
          <w:rFonts w:ascii="Times New Roman" w:hAnsi="Times New Roman" w:cs="Times New Roman"/>
          <w:sz w:val="18"/>
          <w:szCs w:val="18"/>
        </w:rPr>
        <w:t xml:space="preserve">the most informative fingerprint by Group Lasso splicing </w:t>
      </w:r>
      <w:r>
        <w:rPr>
          <w:rFonts w:ascii="Times New Roman" w:hAnsi="Times New Roman" w:cs="Times New Roman"/>
          <w:sz w:val="18"/>
          <w:szCs w:val="18"/>
        </w:rPr>
        <w:t>mode</w:t>
      </w:r>
      <w:r w:rsidRPr="005C60FF">
        <w:rPr>
          <w:rFonts w:ascii="Times New Roman" w:eastAsia="宋体" w:hAnsi="Times New Roman" w:cs="Times New Roman"/>
          <w:sz w:val="18"/>
          <w:szCs w:val="18"/>
        </w:rPr>
        <w:t xml:space="preserve">. PCC refers to </w:t>
      </w:r>
      <w:r w:rsidRPr="005C60FF">
        <w:rPr>
          <w:rFonts w:ascii="Times New Roman" w:hAnsi="Times New Roman" w:cs="Times New Roman"/>
          <w:sz w:val="18"/>
          <w:szCs w:val="18"/>
        </w:rPr>
        <w:t xml:space="preserve">the least Pearson correlation </w:t>
      </w:r>
      <w:r w:rsidRPr="005C60FF">
        <w:rPr>
          <w:rFonts w:ascii="Times New Roman" w:eastAsia="宋体" w:hAnsi="Times New Roman" w:cs="Times New Roman"/>
          <w:sz w:val="18"/>
          <w:szCs w:val="18"/>
        </w:rPr>
        <w:t xml:space="preserve">coefficient </w:t>
      </w:r>
      <w:r w:rsidRPr="005C60FF">
        <w:rPr>
          <w:rFonts w:ascii="Times New Roman" w:hAnsi="Times New Roman" w:cs="Times New Roman"/>
          <w:sz w:val="18"/>
          <w:szCs w:val="18"/>
        </w:rPr>
        <w:t xml:space="preserve">features splicing </w:t>
      </w:r>
      <w:r>
        <w:rPr>
          <w:rFonts w:ascii="Times New Roman" w:hAnsi="Times New Roman" w:cs="Times New Roman"/>
          <w:sz w:val="18"/>
          <w:szCs w:val="18"/>
        </w:rPr>
        <w:t>mode</w:t>
      </w:r>
      <w:r w:rsidRPr="005C60FF">
        <w:rPr>
          <w:rFonts w:ascii="Times New Roman" w:eastAsia="宋体" w:hAnsi="Times New Roman" w:cs="Times New Roman"/>
          <w:sz w:val="18"/>
          <w:szCs w:val="18"/>
        </w:rPr>
        <w:t xml:space="preserve">. CL + TOP refers to the Classification-combined </w:t>
      </w:r>
      <w:r w:rsidRPr="005C60FF">
        <w:rPr>
          <w:rFonts w:ascii="Times New Roman" w:hAnsi="Times New Roman" w:cs="Times New Roman"/>
          <w:sz w:val="18"/>
          <w:szCs w:val="18"/>
        </w:rPr>
        <w:t>top-performing</w:t>
      </w:r>
      <w:r w:rsidRPr="005C60FF">
        <w:rPr>
          <w:rFonts w:ascii="Times New Roman" w:eastAsia="宋体" w:hAnsi="Times New Roman" w:cs="Times New Roman"/>
          <w:sz w:val="18"/>
          <w:szCs w:val="18"/>
        </w:rPr>
        <w:t xml:space="preserve"> regression model.</w:t>
      </w:r>
      <w:r w:rsidRPr="005C60FF">
        <w:rPr>
          <w:rFonts w:ascii="Times New Roman" w:hAnsi="Times New Roman" w:cs="Times New Roman"/>
          <w:sz w:val="18"/>
          <w:szCs w:val="18"/>
        </w:rPr>
        <w:t xml:space="preserve"> </w:t>
      </w:r>
      <w:r w:rsidRPr="005C60FF">
        <w:rPr>
          <w:rFonts w:ascii="Times New Roman" w:eastAsia="宋体" w:hAnsi="Times New Roman" w:cs="Times New Roman"/>
          <w:sz w:val="18"/>
          <w:szCs w:val="18"/>
        </w:rPr>
        <w:t>Best results are marked as bold.</w:t>
      </w:r>
      <w:r w:rsidRPr="004C52D9">
        <w:rPr>
          <w:rFonts w:ascii="Times New Roman" w:eastAsia="宋体" w:hAnsi="Times New Roman" w:cs="Times New Roman"/>
          <w:szCs w:val="21"/>
        </w:rPr>
        <w:t xml:space="preserve"> </w:t>
      </w:r>
      <w:bookmarkEnd w:id="9"/>
    </w:p>
    <w:bookmarkEnd w:id="8"/>
    <w:p w14:paraId="6E39E656" w14:textId="77777777" w:rsidR="0020202E" w:rsidRPr="004C52D9" w:rsidRDefault="0020202E" w:rsidP="0020202E">
      <w:pPr>
        <w:spacing w:line="276" w:lineRule="auto"/>
        <w:rPr>
          <w:rFonts w:ascii="Times New Roman" w:eastAsia="宋体" w:hAnsi="Times New Roman" w:cs="Times New Roman"/>
          <w:szCs w:val="21"/>
          <w:highlight w:val="yellow"/>
        </w:rPr>
      </w:pPr>
    </w:p>
    <w:p w14:paraId="3E466D53" w14:textId="1FE1AAC5" w:rsidR="0020202E" w:rsidRPr="004C52D9" w:rsidRDefault="00C54B3E" w:rsidP="0020202E">
      <w:pPr>
        <w:pStyle w:val="af0"/>
        <w:spacing w:line="276" w:lineRule="auto"/>
        <w:ind w:firstLineChars="0" w:firstLine="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F4F777" wp14:editId="578505EC">
            <wp:extent cx="4974956" cy="2561814"/>
            <wp:effectExtent l="0" t="0" r="0" b="0"/>
            <wp:docPr id="6538567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5228" cy="2572253"/>
                    </a:xfrm>
                    <a:prstGeom prst="rect">
                      <a:avLst/>
                    </a:prstGeom>
                    <a:noFill/>
                  </pic:spPr>
                </pic:pic>
              </a:graphicData>
            </a:graphic>
          </wp:inline>
        </w:drawing>
      </w:r>
    </w:p>
    <w:p w14:paraId="2EDCDB33" w14:textId="2803888F" w:rsidR="0020202E" w:rsidRPr="00B45131" w:rsidRDefault="0020202E" w:rsidP="0020202E">
      <w:pPr>
        <w:spacing w:line="276" w:lineRule="auto"/>
        <w:rPr>
          <w:rFonts w:ascii="Times New Roman" w:eastAsia="宋体" w:hAnsi="Times New Roman" w:cs="Times New Roman"/>
          <w:szCs w:val="21"/>
        </w:rPr>
      </w:pPr>
      <w:r w:rsidRPr="004C52D9">
        <w:rPr>
          <w:rFonts w:ascii="Times New Roman" w:eastAsia="宋体" w:hAnsi="Times New Roman" w:cs="Times New Roman"/>
          <w:szCs w:val="21"/>
        </w:rPr>
        <w:t>Figure 4</w:t>
      </w:r>
      <w:r w:rsidRPr="005C60FF">
        <w:rPr>
          <w:rFonts w:ascii="Times New Roman" w:eastAsia="宋体" w:hAnsi="Times New Roman" w:cs="Times New Roman"/>
          <w:szCs w:val="21"/>
        </w:rPr>
        <w:t xml:space="preserve">. Model performance of </w:t>
      </w:r>
      <w:r w:rsidRPr="004C52D9">
        <w:rPr>
          <w:rFonts w:ascii="Times New Roman" w:eastAsia="宋体" w:hAnsi="Times New Roman" w:cs="Times New Roman"/>
          <w:szCs w:val="21"/>
        </w:rPr>
        <w:t>(</w:t>
      </w:r>
      <w:r w:rsidRPr="005C60FF">
        <w:rPr>
          <w:rFonts w:ascii="Times New Roman" w:eastAsia="宋体" w:hAnsi="Times New Roman" w:cs="Times New Roman"/>
          <w:szCs w:val="21"/>
        </w:rPr>
        <w:t xml:space="preserve">A) the top-performing regression model and </w:t>
      </w:r>
      <w:r w:rsidRPr="004C52D9">
        <w:rPr>
          <w:rFonts w:ascii="Times New Roman" w:eastAsia="宋体" w:hAnsi="Times New Roman" w:cs="Times New Roman"/>
          <w:szCs w:val="21"/>
        </w:rPr>
        <w:t>(</w:t>
      </w:r>
      <w:r w:rsidRPr="005C60FF">
        <w:rPr>
          <w:rFonts w:ascii="Times New Roman" w:eastAsia="宋体" w:hAnsi="Times New Roman" w:cs="Times New Roman"/>
          <w:szCs w:val="21"/>
        </w:rPr>
        <w:t xml:space="preserve">B) the Classification-combined top-performing regression model on </w:t>
      </w:r>
      <w:r w:rsidR="008C139C">
        <w:rPr>
          <w:rFonts w:ascii="Times New Roman" w:eastAsia="宋体" w:hAnsi="Times New Roman" w:cs="Times New Roman"/>
          <w:szCs w:val="21"/>
        </w:rPr>
        <w:t xml:space="preserve">the </w:t>
      </w:r>
      <w:r w:rsidRPr="005C60FF">
        <w:rPr>
          <w:rFonts w:ascii="Times New Roman" w:eastAsia="宋体" w:hAnsi="Times New Roman" w:cs="Times New Roman"/>
          <w:szCs w:val="21"/>
        </w:rPr>
        <w:t>test set.</w:t>
      </w:r>
    </w:p>
    <w:p w14:paraId="69D20965" w14:textId="77777777" w:rsidR="0020202E" w:rsidRPr="005C60FF" w:rsidRDefault="0020202E" w:rsidP="007829B5">
      <w:pPr>
        <w:pStyle w:val="af0"/>
        <w:spacing w:beforeLines="50" w:before="156" w:afterLines="50" w:after="156" w:line="276" w:lineRule="auto"/>
        <w:ind w:firstLineChars="0" w:firstLine="0"/>
        <w:outlineLvl w:val="1"/>
        <w:rPr>
          <w:rFonts w:ascii="Times New Roman" w:hAnsi="Times New Roman" w:cs="Times New Roman"/>
          <w:bCs/>
          <w:sz w:val="32"/>
          <w:szCs w:val="24"/>
        </w:rPr>
      </w:pPr>
      <w:r w:rsidRPr="005C60FF">
        <w:rPr>
          <w:rFonts w:ascii="Times New Roman" w:hAnsi="Times New Roman" w:cs="Times New Roman"/>
          <w:bCs/>
          <w:sz w:val="32"/>
          <w:szCs w:val="24"/>
        </w:rPr>
        <w:t>3.3 Uncertainty-enhanced model performance</w:t>
      </w:r>
    </w:p>
    <w:p w14:paraId="39BF47AD" w14:textId="1BEA4D20" w:rsidR="0020202E" w:rsidRPr="002E38DC" w:rsidRDefault="0020202E" w:rsidP="0020202E">
      <w:pPr>
        <w:spacing w:beforeLines="50" w:before="156" w:afterLines="50" w:after="156" w:line="276" w:lineRule="auto"/>
        <w:ind w:firstLineChars="100" w:firstLine="240"/>
        <w:rPr>
          <w:rFonts w:ascii="Times New Roman" w:eastAsia="宋体" w:hAnsi="Times New Roman" w:cs="Times New Roman"/>
          <w:sz w:val="24"/>
        </w:rPr>
      </w:pPr>
      <w:r w:rsidRPr="002E38DC">
        <w:rPr>
          <w:rFonts w:ascii="Times New Roman" w:eastAsia="宋体" w:hAnsi="Times New Roman" w:cs="Times New Roman"/>
          <w:sz w:val="24"/>
        </w:rPr>
        <w:t xml:space="preserve">In addition to improving predictive accuracy, obtaining accurate confidence estimates for model predictions is crucial for guiding experimental decisions. To this end, we incorporated the evidential uncertainty method as a post-processing layer to the predictive neural network. The evidential uncertainty method involves introducing evidential priors on the original Gaussian likelihood function and training the neural network to infer the hyperparameters of the evidential distribution so that both aleatoric and epistemic uncertainty can be learned. Previous works have demonstrated its capability to capture </w:t>
      </w:r>
      <w:r w:rsidR="00953647">
        <w:rPr>
          <w:rFonts w:ascii="Times New Roman" w:eastAsia="宋体" w:hAnsi="Times New Roman" w:cs="Times New Roman"/>
          <w:sz w:val="24"/>
        </w:rPr>
        <w:t xml:space="preserve">the </w:t>
      </w:r>
      <w:r w:rsidRPr="002E38DC">
        <w:rPr>
          <w:rFonts w:ascii="Times New Roman" w:eastAsia="宋体" w:hAnsi="Times New Roman" w:cs="Times New Roman"/>
          <w:sz w:val="24"/>
        </w:rPr>
        <w:t>domain of out-of-distribution (OOD) samples and provide well-calibrated uncertainty estimates, resulting in precise estimation of the error distribution's variance and confidence interval</w:t>
      </w:r>
      <w:r w:rsidR="007D569E" w:rsidRPr="007D569E">
        <w:rPr>
          <w:rFonts w:ascii="Times New Roman" w:eastAsia="宋体" w:hAnsi="Times New Roman" w:cs="Times New Roman"/>
          <w:sz w:val="24"/>
        </w:rPr>
        <w:t>.</w:t>
      </w:r>
      <w:r w:rsidR="007D569E">
        <w:rPr>
          <w:rFonts w:ascii="Times New Roman" w:eastAsia="宋体" w:hAnsi="Times New Roman" w:cs="Times New Roman"/>
          <w:sz w:val="24"/>
        </w:rPr>
        <w:fldChar w:fldCharType="begin"/>
      </w:r>
      <w:r w:rsidR="007D569E">
        <w:rPr>
          <w:rFonts w:ascii="Times New Roman" w:eastAsia="宋体" w:hAnsi="Times New Roman" w:cs="Times New Roman"/>
          <w:sz w:val="24"/>
        </w:rPr>
        <w:instrText xml:space="preserve"> ADDIN ZOTERO_ITEM CSL_CITATION {"citationID":"AsL1YW7a","properties":{"formattedCitation":"\\super 46\\nosupersub{}","plainCitation":"46","noteIndex":0},"citationItems":[{"id":1465,"uris":["http://zotero.org/users/9157699/items/97XLAKGR"],"itemData":{"id":1465,"type":"article","abstract":"Deterministic neural networks (NNs) are increasingly being deployed in safety critical domains, where calibrated, robust, and efﬁcient measures of uncertainty are crucial. In this paper, we propose a novel method for training non-Bayesian NNs to estimate a continuous target as well as its associated evidence in order to learn both aleatoric and epistemic uncertainty. We accomplish this by placing evidential priors over the original Gaussian likelihood function and training the NN to infer the hyperparameters of the evidential distribution. We additionally impose priors during training such that the model is regularized when its predicted evidence is not aligned with the correct output. Our method does not rely on sampling during inference or on out-of-distribution (OOD) examples for training, thus enabling efﬁcient and scalable uncertainty learning. We demonstrate learning well-calibrated measures of uncertainty on various benchmarks, scaling to complex computer vision tasks, as well as robustness to adversarial and OOD test samples.","language":"en","note":"arXiv:1910.02600 [cs, stat]","number":"arXiv:1910.02600","publisher":"arXiv","source":"arXiv.org","title":"Deep Evidential Regression","URL":"http://arxiv.org/abs/1910.02600","author":[{"family":"Amini","given":"Alexander"},{"family":"Schwarting","given":"Wilko"},{"family":"Soleimany","given":"Ava"},{"family":"Rus","given":"Daniela"}],"accessed":{"date-parts":[["2023",1,19]]},"issued":{"date-parts":[["2020",11,24]]}}}],"schema":"https://github.com/citation-style-language/schema/raw/master/csl-citation.json"} </w:instrText>
      </w:r>
      <w:r w:rsidR="007D569E">
        <w:rPr>
          <w:rFonts w:ascii="Times New Roman" w:eastAsia="宋体" w:hAnsi="Times New Roman" w:cs="Times New Roman"/>
          <w:sz w:val="24"/>
        </w:rPr>
        <w:fldChar w:fldCharType="separate"/>
      </w:r>
      <w:r w:rsidR="007D569E" w:rsidRPr="007D569E">
        <w:rPr>
          <w:rFonts w:ascii="Times New Roman" w:hAnsi="Times New Roman" w:cs="Times New Roman"/>
          <w:kern w:val="0"/>
          <w:sz w:val="24"/>
          <w:szCs w:val="24"/>
          <w:vertAlign w:val="superscript"/>
        </w:rPr>
        <w:t>46</w:t>
      </w:r>
      <w:r w:rsidR="007D569E">
        <w:rPr>
          <w:rFonts w:ascii="Times New Roman" w:eastAsia="宋体" w:hAnsi="Times New Roman" w:cs="Times New Roman"/>
          <w:sz w:val="24"/>
        </w:rPr>
        <w:fldChar w:fldCharType="end"/>
      </w:r>
      <w:r w:rsidRPr="002E38DC">
        <w:rPr>
          <w:rFonts w:ascii="Times New Roman" w:eastAsia="宋体" w:hAnsi="Times New Roman" w:cs="Times New Roman"/>
          <w:sz w:val="24"/>
        </w:rPr>
        <w:t xml:space="preserve"> This approach has proven effective in various fields, including image recognition and molecular property prediction.</w:t>
      </w:r>
      <w:r w:rsidR="007D569E">
        <w:rPr>
          <w:rFonts w:ascii="Times New Roman" w:eastAsia="宋体" w:hAnsi="Times New Roman" w:cs="Times New Roman"/>
          <w:sz w:val="24"/>
        </w:rPr>
        <w:fldChar w:fldCharType="begin"/>
      </w:r>
      <w:r w:rsidR="007D569E">
        <w:rPr>
          <w:rFonts w:ascii="Times New Roman" w:eastAsia="宋体" w:hAnsi="Times New Roman" w:cs="Times New Roman"/>
          <w:sz w:val="24"/>
        </w:rPr>
        <w:instrText xml:space="preserve"> ADDIN ZOTERO_ITEM CSL_CITATION {"citationID":"oiuvdAIW","properties":{"formattedCitation":"\\super 46,47,54\\nosupersub{}","plainCitation":"46,47,54","noteIndex":0},"citationItems":[{"id":1465,"uris":["http://zotero.org/users/9157699/items/97XLAKGR"],"itemData":{"id":1465,"type":"article","abstract":"Deterministic neural networks (NNs) are increasingly being deployed in safety critical domains, where calibrated, robust, and efﬁcient measures of uncertainty are crucial. In this paper, we propose a novel method for training non-Bayesian NNs to estimate a continuous target as well as its associated evidence in order to learn both aleatoric and epistemic uncertainty. We accomplish this by placing evidential priors over the original Gaussian likelihood function and training the NN to infer the hyperparameters of the evidential distribution. We additionally impose priors during training such that the model is regularized when its predicted evidence is not aligned with the correct output. Our method does not rely on sampling during inference or on out-of-distribution (OOD) examples for training, thus enabling efﬁcient and scalable uncertainty learning. We demonstrate learning well-calibrated measures of uncertainty on various benchmarks, scaling to complex computer vision tasks, as well as robustness to adversarial and OOD test samples.","language":"en","note":"arXiv:1910.02600 [cs, stat]","number":"arXiv:1910.02600","publisher":"arXiv","source":"arXiv.org","title":"Deep Evidential Regression","URL":"http://arxiv.org/abs/1910.02600","author":[{"family":"Amini","given":"Alexander"},{"family":"Schwarting","given":"Wilko"},{"family":"Soleimany","given":"Ava"},{"family":"Rus","given":"Daniela"}],"accessed":{"date-parts":[["2023",1,19]]},"issued":{"date-parts":[["2020",11,24]]}}},{"id":1546,"uris":["http://zotero.org/users/9157699/items/EWAFI9HZ"],"itemData":{"id":1546,"type":"article","abstract":"Deterministic neural nets have been shown to learn effective predictors on a wide range of machine learning problems. However, as the standard approach is to train the network to minimize a prediction loss, the resultant model remains ignorant to its prediction confidence. Orthogonally to Bayesian neural nets that indirectly infer prediction uncertainty through weight uncertainties, we propose explicit modeling of the same using the theory of subjective logic. By placing a Dirichlet distribution on the class probabilities, we treat predictions of a neural net as subjective opinions and learn the function that collects the evidence leading to these opinions by a deterministic neural net from data. The resultant predictor for a multi-class classification problem is another Dirichlet distribution whose parameters are set by the continuous output of a neural net. We provide a preliminary analysis on how the peculiarities of our new loss function drive improved uncertainty estimation. We observe that our method achieves unprecedented success on detection of out-of-distribution queries and endurance against adversarial perturbations.","note":"arXiv:1806.01768 [cs, stat]","number":"arXiv:1806.01768","publisher":"arXiv","source":"arXiv.org","title":"Evidential Deep Learning to Quantify Classification Uncertainty","URL":"http://arxiv.org/abs/1806.01768","author":[{"family":"Sensoy","given":"Murat"},{"family":"Kaplan","given":"Lance"},{"family":"Kandemir","given":"Melih"}],"accessed":{"date-parts":[["2023",2,20]]},"issued":{"date-parts":[["2018",10,31]]}}},{"id":1454,"uris":["http://zotero.org/users/9157699/items/SNQTIAFQ"],"itemData":{"id":1454,"type":"article-journal","abstract":"Machine learning including modern deep learning models has been extensively used in drug design and screening. However, reliable prediction of molecular properties is still challenging when exploring out-of-domain regimes, even for deep neural networks. Therefore, it is important to understand the uncertainty of model predictions, especially when the predictions are used to guide further experiments. In this study, we explored the utility and effectiveness of evidential uncertainty in compound screening. The evidential Graphormer model was proposed for uncertainty-guided discovery of KDM1A/LSD1 inhibitors. The benchmarking results illustrated that (i) Graphormer exhibited comparative predictive power to state-of-the-art models, and (ii) evidential regression enabled wellranked uncertainty estimates and calibrated predictions. Subsequently, we leveraged time-splitting on the curated KDM1A/LSD1 dataset to simulate out-of-distribution predictions. The retrospective virtual screening showed that the evidential uncertainties helped reduce false positives among the top-acquired compounds and thus enabled higher experimental validation rates. The trained model was then used to virtually screen an independent in-house compound set. The top 50 compounds ranked by two different ranking strategies were experimentally validated, respectively. In general, our study highlighted the importance to understand the uncertainty in prediction, which can be recognized as an interpretable dimension to model predictions.","container-title":"Briefings in Bioinformatics","DOI":"10.1093/bib/bbac592","ISSN":"1467-5463, 1477-4054","language":"en","page":"bbac592","source":"DOI.org (Crossref)","title":"Learning with uncertainty to accelerate the discovery of histone lysine-specific demethylase 1A (KDM1A/LSD1) inhibitors","author":[{"family":"Wang","given":"Dong"},{"family":"Wu","given":"Zhenxing"},{"family":"Shen","given":"Chao"},{"family":"Bao","given":"Lingjie"},{"family":"Luo","given":"Hao"},{"family":"Wang","given":"Zhe"},{"family":"Yao","given":"Hucheng"},{"family":"Kong","given":"De-Xin"},{"family":"Luo","given":"Cheng"},{"family":"Hou","given":"Tingjun"}],"issued":{"date-parts":[["2022",12,27]]}}}],"schema":"https://github.com/citation-style-language/schema/raw/master/csl-citation.json"} </w:instrText>
      </w:r>
      <w:r w:rsidR="007D569E">
        <w:rPr>
          <w:rFonts w:ascii="Times New Roman" w:eastAsia="宋体" w:hAnsi="Times New Roman" w:cs="Times New Roman"/>
          <w:sz w:val="24"/>
        </w:rPr>
        <w:fldChar w:fldCharType="separate"/>
      </w:r>
      <w:r w:rsidR="007D569E" w:rsidRPr="007D569E">
        <w:rPr>
          <w:rFonts w:ascii="Times New Roman" w:hAnsi="Times New Roman" w:cs="Times New Roman"/>
          <w:kern w:val="0"/>
          <w:sz w:val="24"/>
          <w:szCs w:val="24"/>
          <w:vertAlign w:val="superscript"/>
        </w:rPr>
        <w:t>46,47,54</w:t>
      </w:r>
      <w:r w:rsidR="007D569E">
        <w:rPr>
          <w:rFonts w:ascii="Times New Roman" w:eastAsia="宋体" w:hAnsi="Times New Roman" w:cs="Times New Roman"/>
          <w:sz w:val="24"/>
        </w:rPr>
        <w:fldChar w:fldCharType="end"/>
      </w:r>
      <w:r w:rsidRPr="002E38DC">
        <w:rPr>
          <w:rFonts w:ascii="Times New Roman" w:eastAsia="宋体" w:hAnsi="Times New Roman" w:cs="Times New Roman"/>
          <w:sz w:val="24"/>
        </w:rPr>
        <w:t xml:space="preserve"> Moreover, the evidential method is user-friendly, as it does not require</w:t>
      </w:r>
      <w:r w:rsidRPr="002E38DC">
        <w:rPr>
          <w:rFonts w:ascii="Times New Roman" w:eastAsia="宋体" w:hAnsi="Times New Roman" w:cs="Times New Roman"/>
          <w:strike/>
          <w:sz w:val="24"/>
        </w:rPr>
        <w:t xml:space="preserve"> </w:t>
      </w:r>
      <w:r w:rsidRPr="002E38DC">
        <w:rPr>
          <w:rFonts w:ascii="Times New Roman" w:eastAsia="宋体" w:hAnsi="Times New Roman" w:cs="Times New Roman"/>
          <w:sz w:val="24"/>
        </w:rPr>
        <w:t>sampling and can be implemented without significant architecture changes.</w:t>
      </w:r>
      <w:r w:rsidR="007D569E">
        <w:rPr>
          <w:rFonts w:ascii="Times New Roman" w:eastAsia="宋体" w:hAnsi="Times New Roman" w:cs="Times New Roman"/>
          <w:sz w:val="24"/>
        </w:rPr>
        <w:fldChar w:fldCharType="begin"/>
      </w:r>
      <w:r w:rsidR="007D569E">
        <w:rPr>
          <w:rFonts w:ascii="Times New Roman" w:eastAsia="宋体" w:hAnsi="Times New Roman" w:cs="Times New Roman"/>
          <w:sz w:val="24"/>
        </w:rPr>
        <w:instrText xml:space="preserve"> ADDIN ZOTERO_ITEM CSL_CITATION {"citationID":"RuaiOdPn","properties":{"formattedCitation":"\\super 32,46\\nosupersub{}","plainCitation":"32,46","noteIndex":0},"citationItems":[{"id":1123,"uris":["http://zotero.org/users/9157699/items/S5PUEAC5"],"itemData":{"id":1123,"type":"article-journal","abstract":"Uncertainty quantification (UQ) methods play a pivotal role in reducing the impact of uncertainties during both optimization and decision making processes. They have been applied to solve a variety of real-world problems in science and engineering. Bayesian approximation and ensemble learning techniques are two widely-used types of uncertainty quantification (UQ) methods. In this regard, researchers have proposed different UQ methods and examined their performance in a variety of applications such as computer vision (e.g., selfdriving cars and object detection), image processing (e.g., image restoration), medical image analysis (e.g., medical image classification and segmentation), natural language processing (e.g., text classification, social media texts and recidivism risk-scoring), bioinformatics, etc. This study reviews recent advances in UQ methods used in deep learning, investigates the application of these methods in reinforcement learning, and highlights fundamental research challenges and directions associated with UQ.","container-title":"Information Fusion","DOI":"10.1016/j.inffus.2021.05.008","ISSN":"15662535","journalAbbreviation":"Information Fusion","language":"en","page":"243-297","source":"DOI.org (Crossref)","title":"A review of uncertainty quantification in deep learning: Techniques, applications and challenges","title-short":"A review of uncertainty quantification in deep learning","volume":"76","author":[{"family":"Abdar","given":"Moloud"},{"family":"Pourpanah","given":"Farhad"},{"family":"Hussain","given":"Sadiq"},{"family":"Rezazadegan","given":"Dana"},{"family":"Liu","given":"Li"},{"family":"Ghavamzadeh","given":"Mohammad"},{"family":"Fieguth","given":"Paul"},{"family":"Cao","given":"Xiaochun"},{"family":"Khosravi","given":"Abbas"},{"family":"Acharya","given":"U. Rajendra"},{"family":"Makarenkov","given":"Vladimir"},{"family":"Nahavandi","given":"Saeid"}],"issued":{"date-parts":[["2021",12]]}}},{"id":1465,"uris":["http://zotero.org/users/9157699/items/97XLAKGR"],"itemData":{"id":1465,"type":"article","abstract":"Deterministic neural networks (NNs) are increasingly being deployed in safety critical domains, where calibrated, robust, and efﬁcient measures of uncertainty are crucial. In this paper, we propose a novel method for training non-Bayesian NNs to estimate a continuous target as well as its associated evidence in order to learn both aleatoric and epistemic uncertainty. We accomplish this by placing evidential priors over the original Gaussian likelihood function and training the NN to infer the hyperparameters of the evidential distribution. We additionally impose priors during training such that the model is regularized when its predicted evidence is not aligned with the correct output. Our method does not rely on sampling during inference or on out-of-distribution (OOD) examples for training, thus enabling efﬁcient and scalable uncertainty learning. We demonstrate learning well-calibrated measures of uncertainty on various benchmarks, scaling to complex computer vision tasks, as well as robustness to adversarial and OOD test samples.","language":"en","note":"arXiv:1910.02600 [cs, stat]","number":"arXiv:1910.02600","publisher":"arXiv","source":"arXiv.org","title":"Deep Evidential Regression","URL":"http://arxiv.org/abs/1910.02600","author":[{"family":"Amini","given":"Alexander"},{"family":"Schwarting","given":"Wilko"},{"family":"Soleimany","given":"Ava"},{"family":"Rus","given":"Daniela"}],"accessed":{"date-parts":[["2023",1,19]]},"issued":{"date-parts":[["2020",11,24]]}}}],"schema":"https://github.com/citation-style-language/schema/raw/master/csl-citation.json"} </w:instrText>
      </w:r>
      <w:r w:rsidR="007D569E">
        <w:rPr>
          <w:rFonts w:ascii="Times New Roman" w:eastAsia="宋体" w:hAnsi="Times New Roman" w:cs="Times New Roman"/>
          <w:sz w:val="24"/>
        </w:rPr>
        <w:fldChar w:fldCharType="separate"/>
      </w:r>
      <w:r w:rsidR="007D569E" w:rsidRPr="007D569E">
        <w:rPr>
          <w:rFonts w:ascii="Times New Roman" w:hAnsi="Times New Roman" w:cs="Times New Roman"/>
          <w:kern w:val="0"/>
          <w:sz w:val="24"/>
          <w:szCs w:val="24"/>
          <w:vertAlign w:val="superscript"/>
        </w:rPr>
        <w:t>32,46</w:t>
      </w:r>
      <w:r w:rsidR="007D569E">
        <w:rPr>
          <w:rFonts w:ascii="Times New Roman" w:eastAsia="宋体" w:hAnsi="Times New Roman" w:cs="Times New Roman"/>
          <w:sz w:val="24"/>
        </w:rPr>
        <w:fldChar w:fldCharType="end"/>
      </w:r>
      <w:r w:rsidRPr="002E38DC">
        <w:rPr>
          <w:rFonts w:ascii="Times New Roman" w:eastAsia="宋体" w:hAnsi="Times New Roman" w:cs="Times New Roman"/>
          <w:sz w:val="24"/>
        </w:rPr>
        <w:t xml:space="preserve"> </w:t>
      </w:r>
    </w:p>
    <w:p w14:paraId="7A2D8578" w14:textId="6F07140C" w:rsidR="0020202E" w:rsidRPr="002E38DC" w:rsidRDefault="0020202E" w:rsidP="0020202E">
      <w:pPr>
        <w:spacing w:beforeLines="50" w:before="156" w:afterLines="50" w:after="156" w:line="276" w:lineRule="auto"/>
        <w:ind w:firstLineChars="100" w:firstLine="240"/>
        <w:rPr>
          <w:rFonts w:ascii="Times New Roman" w:eastAsia="宋体" w:hAnsi="Times New Roman" w:cs="Times New Roman"/>
          <w:sz w:val="24"/>
        </w:rPr>
      </w:pPr>
      <w:r w:rsidRPr="002E38DC">
        <w:rPr>
          <w:rFonts w:ascii="Times New Roman" w:eastAsia="宋体" w:hAnsi="Times New Roman" w:cs="Times New Roman"/>
          <w:sz w:val="24"/>
        </w:rPr>
        <w:lastRenderedPageBreak/>
        <w:t xml:space="preserve">Here, we evaluated the calibration and ranking capabilities of the evidential model. The evidence loss function includes two terms, one for maximizing evidence and the other for regularization, which </w:t>
      </w:r>
      <w:r w:rsidR="00953647">
        <w:rPr>
          <w:rFonts w:ascii="Times New Roman" w:eastAsia="宋体" w:hAnsi="Times New Roman" w:cs="Times New Roman"/>
          <w:sz w:val="24"/>
        </w:rPr>
        <w:t>is</w:t>
      </w:r>
      <w:r w:rsidR="00953647" w:rsidRPr="002E38DC">
        <w:rPr>
          <w:rFonts w:ascii="Times New Roman" w:eastAsia="宋体" w:hAnsi="Times New Roman" w:cs="Times New Roman"/>
          <w:sz w:val="24"/>
        </w:rPr>
        <w:t xml:space="preserve"> </w:t>
      </w:r>
      <w:r w:rsidRPr="002E38DC">
        <w:rPr>
          <w:rFonts w:ascii="Times New Roman" w:eastAsia="宋体" w:hAnsi="Times New Roman" w:cs="Times New Roman"/>
          <w:sz w:val="24"/>
        </w:rPr>
        <w:t>scaled by a regularization coefficient, λ. By varying λ, the method's sensitivity to OOD samples can be adjusted.</w:t>
      </w:r>
      <w:r w:rsidR="007D569E">
        <w:rPr>
          <w:rFonts w:ascii="Times New Roman" w:eastAsia="宋体" w:hAnsi="Times New Roman" w:cs="Times New Roman"/>
          <w:sz w:val="24"/>
        </w:rPr>
        <w:fldChar w:fldCharType="begin"/>
      </w:r>
      <w:r w:rsidR="007D569E">
        <w:rPr>
          <w:rFonts w:ascii="Times New Roman" w:eastAsia="宋体" w:hAnsi="Times New Roman" w:cs="Times New Roman"/>
          <w:sz w:val="24"/>
        </w:rPr>
        <w:instrText xml:space="preserve"> ADDIN ZOTERO_ITEM CSL_CITATION {"citationID":"ZTgxeJil","properties":{"formattedCitation":"\\super 46,47,55\\nosupersub{}","plainCitation":"46,47,55","noteIndex":0},"citationItems":[{"id":1465,"uris":["http://zotero.org/users/9157699/items/97XLAKGR"],"itemData":{"id":1465,"type":"article","abstract":"Deterministic neural networks (NNs) are increasingly being deployed in safety critical domains, where calibrated, robust, and efﬁcient measures of uncertainty are crucial. In this paper, we propose a novel method for training non-Bayesian NNs to estimate a continuous target as well as its associated evidence in order to learn both aleatoric and epistemic uncertainty. We accomplish this by placing evidential priors over the original Gaussian likelihood function and training the NN to infer the hyperparameters of the evidential distribution. We additionally impose priors during training such that the model is regularized when its predicted evidence is not aligned with the correct output. Our method does not rely on sampling during inference or on out-of-distribution (OOD) examples for training, thus enabling efﬁcient and scalable uncertainty learning. We demonstrate learning well-calibrated measures of uncertainty on various benchmarks, scaling to complex computer vision tasks, as well as robustness to adversarial and OOD test samples.","language":"en","note":"arXiv:1910.02600 [cs, stat]","number":"arXiv:1910.02600","publisher":"arXiv","source":"arXiv.org","title":"Deep Evidential Regression","URL":"http://arxiv.org/abs/1910.02600","author":[{"family":"Amini","given":"Alexander"},{"family":"Schwarting","given":"Wilko"},{"family":"Soleimany","given":"Ava"},{"family":"Rus","given":"Daniela"}],"accessed":{"date-parts":[["2023",1,19]]},"issued":{"date-parts":[["2020",11,24]]}}},{"id":1546,"uris":["http://zotero.org/users/9157699/items/EWAFI9HZ"],"itemData":{"id":1546,"type":"article","abstract":"Deterministic neural nets have been shown to learn effective predictors on a wide range of machine learning problems. However, as the standard approach is to train the network to minimize a prediction loss, the resultant model remains ignorant to its prediction confidence. Orthogonally to Bayesian neural nets that indirectly infer prediction uncertainty through weight uncertainties, we propose explicit modeling of the same using the theory of subjective logic. By placing a Dirichlet distribution on the class probabilities, we treat predictions of a neural net as subjective opinions and learn the function that collects the evidence leading to these opinions by a deterministic neural net from data. The resultant predictor for a multi-class classification problem is another Dirichlet distribution whose parameters are set by the continuous output of a neural net. We provide a preliminary analysis on how the peculiarities of our new loss function drive improved uncertainty estimation. We observe that our method achieves unprecedented success on detection of out-of-distribution queries and endurance against adversarial perturbations.","note":"arXiv:1806.01768 [cs, stat]","number":"arXiv:1806.01768","publisher":"arXiv","source":"arXiv.org","title":"Evidential Deep Learning to Quantify Classification Uncertainty","URL":"http://arxiv.org/abs/1806.01768","author":[{"family":"Sensoy","given":"Murat"},{"family":"Kaplan","given":"Lance"},{"family":"Kandemir","given":"Melih"}],"accessed":{"date-parts":[["2023",2,20]]},"issued":{"date-parts":[["2018",10,31]]}}},{"id":1864,"uris":["http://zotero.org/users/9157699/items/WBAAABYN"],"itemData":{"id":1864,"type":"paper-conference","abstract":"Methods for reasoning under uncertainty are a key building block of accurate and reliable machine learning systems. Bayesian methods provide a general framework to quantify uncertainty. However, because of model misspecification and the use of approximate inference, Bayesian uncertainty estimates are often inaccurate {—} for example, a 90% credible interval may not contain the true outcome 90% of the time. Here, we propose a simple procedure for calibrating any regression algorithm; when applied to Bayesian and probabilistic models, it is guaranteed to produce calibrated uncertainty estimates given enough data. Our procedure is inspired by Platt scaling and extends previous work on classification. We evaluate this approach on Bayesian linear regression, feedforward, and recurrent neural networks, and find that it consistently outputs well-calibrated credible intervals while improving performance on time series forecasting and model-based reinforcement learning tasks.","container-title":"Proceedings of the 35th International Conference on Machine Learning","event-title":"International Conference on Machine Learning","language":"en","note":"ISSN: 2640-3498","page":"2796-2804","publisher":"PMLR","source":"proceedings.mlr.press","title":"!46 Accurate Uncertainties for Deep Learning Using Calibrated Regression","URL":"https://proceedings.mlr.press/v80/kuleshov18a.html","author":[{"family":"Kuleshov","given":"Volodymyr"},{"family":"Fenner","given":"Nathan"},{"family":"Ermon","given":"Stefano"}],"accessed":{"date-parts":[["2023",3,30]]},"issued":{"date-parts":[["2018",7,3]]}}}],"schema":"https://github.com/citation-style-language/schema/raw/master/csl-citation.json"} </w:instrText>
      </w:r>
      <w:r w:rsidR="007D569E">
        <w:rPr>
          <w:rFonts w:ascii="Times New Roman" w:eastAsia="宋体" w:hAnsi="Times New Roman" w:cs="Times New Roman"/>
          <w:sz w:val="24"/>
        </w:rPr>
        <w:fldChar w:fldCharType="separate"/>
      </w:r>
      <w:r w:rsidR="007D569E" w:rsidRPr="007D569E">
        <w:rPr>
          <w:rFonts w:ascii="Times New Roman" w:hAnsi="Times New Roman" w:cs="Times New Roman"/>
          <w:kern w:val="0"/>
          <w:sz w:val="24"/>
          <w:szCs w:val="24"/>
          <w:vertAlign w:val="superscript"/>
        </w:rPr>
        <w:t>46,47,55</w:t>
      </w:r>
      <w:r w:rsidR="007D569E">
        <w:rPr>
          <w:rFonts w:ascii="Times New Roman" w:eastAsia="宋体" w:hAnsi="Times New Roman" w:cs="Times New Roman"/>
          <w:sz w:val="24"/>
        </w:rPr>
        <w:fldChar w:fldCharType="end"/>
      </w:r>
      <w:r w:rsidRPr="002E38DC">
        <w:rPr>
          <w:rFonts w:ascii="Times New Roman" w:eastAsia="宋体" w:hAnsi="Times New Roman" w:cs="Times New Roman"/>
          <w:sz w:val="24"/>
        </w:rPr>
        <w:t xml:space="preserve"> A perfect uncertainty estimator would result in an observed distribution that exactly matches the ideal calibration. Generally, smaller values of λ yield over-confident estimates, while higher λ values may cause under-confidence. As shown in Figure 5 A, a value of λ equal to 0.2 provided well-calibrated uncertainty quantification and was selected for subsequent analysis.</w:t>
      </w:r>
    </w:p>
    <w:p w14:paraId="3F6653B1" w14:textId="77777777" w:rsidR="0020202E" w:rsidRPr="002E38DC" w:rsidRDefault="0020202E" w:rsidP="0020202E">
      <w:pPr>
        <w:spacing w:beforeLines="50" w:before="156" w:afterLines="50" w:after="156" w:line="276" w:lineRule="auto"/>
        <w:ind w:firstLineChars="100" w:firstLine="240"/>
        <w:rPr>
          <w:rFonts w:ascii="Times New Roman" w:eastAsia="宋体" w:hAnsi="Times New Roman" w:cs="Times New Roman"/>
          <w:sz w:val="24"/>
        </w:rPr>
      </w:pPr>
      <w:r w:rsidRPr="002E38DC">
        <w:rPr>
          <w:rFonts w:ascii="Times New Roman" w:eastAsia="宋体" w:hAnsi="Times New Roman" w:cs="Times New Roman"/>
          <w:sz w:val="24"/>
        </w:rPr>
        <w:t>The distribution of total uncertainty, epistemic uncertainty, and aleatoric uncertainty of test data was analyzed. Their values ranged from 0.22 to 1.63, with aleatoric uncertainty exhibiting a more concentrated distribution (Figure 5B). To assess the ranking ability of the evidential uncertainty, where higher uncertainty values should be assigned to larger prediction errors, we conducted independent sample t-tests on the absolute error values of the high uncertainty value group (top 25% of uncertainty in test data) and the low uncertainty group (bottom 25% of uncertainty in test data). Figure 5C showed significant differences between the two groups for all three uncertainty calculation methods, with p-values less than 0.001. Subsequently, we sorted the data based on the total uncertainty and removed data that exceeded a certain percentage. As depicted in Figure 5D, the RMSE rapidly decreased with increasing confidence</w:t>
      </w:r>
      <w:r>
        <w:rPr>
          <w:rFonts w:ascii="Times New Roman" w:eastAsia="宋体" w:hAnsi="Times New Roman" w:cs="Times New Roman"/>
          <w:sz w:val="24"/>
        </w:rPr>
        <w:t xml:space="preserve">, </w:t>
      </w:r>
      <w:r w:rsidRPr="002E38DC">
        <w:rPr>
          <w:rFonts w:ascii="Times New Roman" w:eastAsia="宋体" w:hAnsi="Times New Roman" w:cs="Times New Roman"/>
          <w:sz w:val="24"/>
        </w:rPr>
        <w:t xml:space="preserve">indicated that high-confidence predictions can significantly enhance the model's performance. Similarly, Figure 5E showed that as the uncertainty values increased, the proportion of data with larger absolute errors also increased, further confirming the strong correlation between evidential uncertainty and </w:t>
      </w:r>
      <w:r>
        <w:rPr>
          <w:rFonts w:ascii="Times New Roman" w:eastAsia="宋体" w:hAnsi="Times New Roman" w:cs="Times New Roman"/>
          <w:sz w:val="24"/>
        </w:rPr>
        <w:t xml:space="preserve">prediction </w:t>
      </w:r>
      <w:r w:rsidRPr="002E38DC">
        <w:rPr>
          <w:rFonts w:ascii="Times New Roman" w:eastAsia="宋体" w:hAnsi="Times New Roman" w:cs="Times New Roman"/>
          <w:sz w:val="24"/>
        </w:rPr>
        <w:t>error</w:t>
      </w:r>
      <w:r>
        <w:rPr>
          <w:rFonts w:ascii="Times New Roman" w:eastAsia="宋体" w:hAnsi="Times New Roman" w:cs="Times New Roman"/>
          <w:sz w:val="24"/>
        </w:rPr>
        <w:t>s</w:t>
      </w:r>
      <w:r w:rsidRPr="002E38DC">
        <w:rPr>
          <w:rFonts w:ascii="Times New Roman" w:eastAsia="宋体" w:hAnsi="Times New Roman" w:cs="Times New Roman"/>
          <w:sz w:val="24"/>
        </w:rPr>
        <w:t>.</w:t>
      </w:r>
    </w:p>
    <w:p w14:paraId="53A573F5" w14:textId="77777777" w:rsidR="0020202E" w:rsidRPr="002E38DC" w:rsidRDefault="0020202E" w:rsidP="00403422">
      <w:pPr>
        <w:spacing w:beforeLines="50" w:before="156" w:afterLines="50" w:after="156" w:line="276" w:lineRule="auto"/>
        <w:ind w:firstLineChars="100" w:firstLine="240"/>
        <w:rPr>
          <w:rFonts w:ascii="Times New Roman" w:eastAsia="宋体" w:hAnsi="Times New Roman" w:cs="Times New Roman"/>
          <w:sz w:val="24"/>
        </w:rPr>
      </w:pPr>
      <w:r w:rsidRPr="002E38DC">
        <w:rPr>
          <w:rFonts w:ascii="Times New Roman" w:eastAsia="宋体" w:hAnsi="Times New Roman" w:cs="Times New Roman"/>
          <w:sz w:val="24"/>
        </w:rPr>
        <w:t>To visualize the uncertainty distribution in chemical space, we projected the test compounds into t-SNE plot (Figure 5F). The size of each circle corresponds to the magnitude of the prediction error, while the color represents the uncertainty value. We observed that most points with larger errors exhibited higher uncertainty values. The distribution of points with different uncertainty values and prediction errors in chemical space were widely dispersed, with only a few clusters, suggested that the uncertainty estimates were not biased towards specific chemical structures.</w:t>
      </w:r>
    </w:p>
    <w:p w14:paraId="0D5E62DC" w14:textId="435CE7FA" w:rsidR="0020202E" w:rsidRPr="005C60FF" w:rsidRDefault="00C54B3E" w:rsidP="00C54B3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35C4145" wp14:editId="3F1E8FED">
            <wp:extent cx="5602573" cy="6276674"/>
            <wp:effectExtent l="0" t="0" r="0" b="0"/>
            <wp:docPr id="9045183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765" cy="6293693"/>
                    </a:xfrm>
                    <a:prstGeom prst="rect">
                      <a:avLst/>
                    </a:prstGeom>
                    <a:noFill/>
                  </pic:spPr>
                </pic:pic>
              </a:graphicData>
            </a:graphic>
          </wp:inline>
        </w:drawing>
      </w:r>
    </w:p>
    <w:p w14:paraId="79035820" w14:textId="77777777" w:rsidR="0020202E" w:rsidRPr="00041021" w:rsidRDefault="0020202E" w:rsidP="0020202E">
      <w:pPr>
        <w:pStyle w:val="af0"/>
        <w:spacing w:line="276" w:lineRule="auto"/>
        <w:ind w:firstLineChars="0" w:firstLine="0"/>
        <w:rPr>
          <w:rFonts w:ascii="Times New Roman" w:eastAsia="宋体" w:hAnsi="Times New Roman" w:cs="Times New Roman"/>
        </w:rPr>
      </w:pPr>
      <w:r w:rsidRPr="004C52D9">
        <w:rPr>
          <w:rFonts w:ascii="Times New Roman" w:eastAsia="宋体" w:hAnsi="Times New Roman" w:cs="Times New Roman"/>
          <w:szCs w:val="21"/>
        </w:rPr>
        <w:t>Figure 5</w:t>
      </w:r>
      <w:r w:rsidRPr="004C52D9">
        <w:rPr>
          <w:rFonts w:ascii="Times New Roman" w:eastAsia="宋体" w:hAnsi="Times New Roman" w:cs="Times New Roman"/>
        </w:rPr>
        <w:t>. Uncertainty analysis using evidential</w:t>
      </w:r>
      <w:r>
        <w:rPr>
          <w:rFonts w:ascii="Times New Roman" w:eastAsia="宋体" w:hAnsi="Times New Roman" w:cs="Times New Roman"/>
        </w:rPr>
        <w:t xml:space="preserve"> uncertainty-based</w:t>
      </w:r>
      <w:r w:rsidRPr="004C52D9">
        <w:rPr>
          <w:rFonts w:ascii="Times New Roman" w:eastAsia="宋体" w:hAnsi="Times New Roman" w:cs="Times New Roman"/>
        </w:rPr>
        <w:t xml:space="preserve"> regression model. </w:t>
      </w:r>
      <w:r>
        <w:rPr>
          <w:rFonts w:ascii="Times New Roman" w:eastAsia="宋体" w:hAnsi="Times New Roman" w:cs="Times New Roman"/>
        </w:rPr>
        <w:t>(</w:t>
      </w:r>
      <w:r w:rsidRPr="004C52D9">
        <w:rPr>
          <w:rFonts w:ascii="Times New Roman" w:eastAsia="宋体" w:hAnsi="Times New Roman" w:cs="Times New Roman"/>
        </w:rPr>
        <w:t>A)</w:t>
      </w:r>
      <w:r>
        <w:t xml:space="preserve"> </w:t>
      </w:r>
      <w:r w:rsidRPr="00AD6106">
        <w:rPr>
          <w:rFonts w:ascii="Times New Roman" w:hAnsi="Times New Roman" w:cs="Times New Roman"/>
        </w:rPr>
        <w:t xml:space="preserve">Estimated confidence against the observed proportion </w:t>
      </w:r>
      <w:proofErr w:type="gramStart"/>
      <w:r w:rsidRPr="00AD6106">
        <w:rPr>
          <w:rFonts w:ascii="Times New Roman" w:hAnsi="Times New Roman" w:cs="Times New Roman"/>
        </w:rPr>
        <w:t>correct</w:t>
      </w:r>
      <w:proofErr w:type="gramEnd"/>
      <w:r w:rsidRPr="00AD6106">
        <w:rPr>
          <w:rFonts w:ascii="Times New Roman" w:hAnsi="Times New Roman" w:cs="Times New Roman"/>
        </w:rPr>
        <w:t xml:space="preserve"> evaluated on</w:t>
      </w:r>
      <w:r>
        <w:rPr>
          <w:rFonts w:ascii="Times New Roman" w:hAnsi="Times New Roman" w:cs="Times New Roman"/>
        </w:rPr>
        <w:t xml:space="preserve"> </w:t>
      </w:r>
      <w:r>
        <w:rPr>
          <w:rFonts w:ascii="Times New Roman" w:hAnsi="Times New Roman" w:cs="Times New Roman" w:hint="eastAsia"/>
        </w:rPr>
        <w:t>test</w:t>
      </w:r>
      <w:r w:rsidRPr="00AD6106">
        <w:rPr>
          <w:rFonts w:ascii="Times New Roman" w:hAnsi="Times New Roman" w:cs="Times New Roman"/>
        </w:rPr>
        <w:t xml:space="preserve"> set.</w:t>
      </w:r>
      <w:r w:rsidRPr="004C52D9">
        <w:rPr>
          <w:rFonts w:ascii="Times New Roman" w:eastAsia="宋体" w:hAnsi="Times New Roman" w:cs="Times New Roman"/>
        </w:rPr>
        <w:t xml:space="preserve"> The dashed line represents a perfect calibration. Mean ± 95% </w:t>
      </w:r>
      <w:proofErr w:type="spellStart"/>
      <w:r w:rsidRPr="004C52D9">
        <w:rPr>
          <w:rFonts w:ascii="Times New Roman" w:eastAsia="宋体" w:hAnsi="Times New Roman" w:cs="Times New Roman"/>
        </w:rPr>
        <w:t>c.i.</w:t>
      </w:r>
      <w:proofErr w:type="spellEnd"/>
      <w:r w:rsidRPr="004C52D9">
        <w:rPr>
          <w:rFonts w:ascii="Times New Roman" w:eastAsia="宋体" w:hAnsi="Times New Roman" w:cs="Times New Roman"/>
        </w:rPr>
        <w:t xml:space="preserve">, n =10 independent trials. </w:t>
      </w:r>
      <w:r>
        <w:rPr>
          <w:rFonts w:ascii="Times New Roman" w:eastAsia="宋体" w:hAnsi="Times New Roman" w:cs="Times New Roman"/>
        </w:rPr>
        <w:t>(</w:t>
      </w:r>
      <w:r w:rsidRPr="004C52D9">
        <w:rPr>
          <w:rFonts w:ascii="Times New Roman" w:eastAsia="宋体" w:hAnsi="Times New Roman" w:cs="Times New Roman"/>
        </w:rPr>
        <w:t xml:space="preserve">B) Histograms of the distribution of the aleatoric, epistemic, and total uncertainty. </w:t>
      </w:r>
      <w:r>
        <w:rPr>
          <w:rFonts w:ascii="Times New Roman" w:eastAsia="宋体" w:hAnsi="Times New Roman" w:cs="Times New Roman"/>
        </w:rPr>
        <w:t>(</w:t>
      </w:r>
      <w:r w:rsidRPr="004C52D9">
        <w:rPr>
          <w:rFonts w:ascii="Times New Roman" w:eastAsia="宋体" w:hAnsi="Times New Roman" w:cs="Times New Roman"/>
        </w:rPr>
        <w:t>C) Student’s t-tests on absolute error distributions for aleatoric, epistemic, and total uncertainty in two groups</w:t>
      </w:r>
      <w:r>
        <w:rPr>
          <w:rFonts w:ascii="Times New Roman" w:eastAsia="宋体" w:hAnsi="Times New Roman" w:cs="Times New Roman"/>
        </w:rPr>
        <w:t xml:space="preserve"> of the test set</w:t>
      </w:r>
      <w:r w:rsidRPr="004C52D9">
        <w:rPr>
          <w:rFonts w:ascii="Times New Roman" w:eastAsia="宋体" w:hAnsi="Times New Roman" w:cs="Times New Roman"/>
        </w:rPr>
        <w:t xml:space="preserve">: Q1 (top 25% uncertainty values) and Q3 (bottom 25% uncertainty values). All p-values &lt; 0.001. </w:t>
      </w:r>
      <w:r>
        <w:rPr>
          <w:rFonts w:ascii="Times New Roman" w:eastAsia="宋体" w:hAnsi="Times New Roman" w:cs="Times New Roman"/>
        </w:rPr>
        <w:t>(</w:t>
      </w:r>
      <w:r w:rsidRPr="004C52D9">
        <w:rPr>
          <w:rFonts w:ascii="Times New Roman" w:eastAsia="宋体" w:hAnsi="Times New Roman" w:cs="Times New Roman"/>
        </w:rPr>
        <w:t xml:space="preserve">D) </w:t>
      </w:r>
      <w:r>
        <w:rPr>
          <w:rFonts w:ascii="Times New Roman" w:eastAsia="宋体" w:hAnsi="Times New Roman" w:cs="Times New Roman"/>
        </w:rPr>
        <w:t xml:space="preserve">The test data was sorted and </w:t>
      </w:r>
      <w:r w:rsidRPr="00041021">
        <w:rPr>
          <w:rFonts w:ascii="Times New Roman" w:eastAsia="宋体" w:hAnsi="Times New Roman" w:cs="Times New Roman"/>
        </w:rPr>
        <w:t>sequentially rejected based on decreasing total uncertainty percentiles</w:t>
      </w:r>
      <w:r>
        <w:rPr>
          <w:rFonts w:ascii="Times New Roman" w:eastAsia="宋体" w:hAnsi="Times New Roman" w:cs="Times New Roman"/>
        </w:rPr>
        <w:t xml:space="preserve">, </w:t>
      </w:r>
      <w:r w:rsidRPr="00041021">
        <w:rPr>
          <w:rFonts w:ascii="Times New Roman" w:eastAsia="宋体" w:hAnsi="Times New Roman" w:cs="Times New Roman"/>
        </w:rPr>
        <w:t xml:space="preserve">and RMSE </w:t>
      </w:r>
      <w:r w:rsidRPr="004C52D9">
        <w:rPr>
          <w:rFonts w:ascii="Times New Roman" w:eastAsia="宋体" w:hAnsi="Times New Roman" w:cs="Times New Roman"/>
        </w:rPr>
        <w:t>(black line)</w:t>
      </w:r>
      <w:r>
        <w:rPr>
          <w:rFonts w:ascii="Times New Roman" w:eastAsia="宋体" w:hAnsi="Times New Roman" w:cs="Times New Roman"/>
        </w:rPr>
        <w:t xml:space="preserve"> </w:t>
      </w:r>
      <w:r w:rsidRPr="00041021">
        <w:rPr>
          <w:rFonts w:ascii="Times New Roman" w:eastAsia="宋体" w:hAnsi="Times New Roman" w:cs="Times New Roman"/>
        </w:rPr>
        <w:t>for the remaining data was calculated</w:t>
      </w:r>
      <w:r w:rsidRPr="004C52D9">
        <w:rPr>
          <w:rFonts w:ascii="Times New Roman" w:eastAsia="宋体" w:hAnsi="Times New Roman" w:cs="Times New Roman"/>
        </w:rPr>
        <w:t xml:space="preserve">. Boxplots represent the distribution of uncertainty values for data at different uncertainty percentile cutoffs. </w:t>
      </w:r>
      <w:r>
        <w:rPr>
          <w:rFonts w:ascii="Times New Roman" w:eastAsia="宋体" w:hAnsi="Times New Roman" w:cs="Times New Roman"/>
        </w:rPr>
        <w:t>(</w:t>
      </w:r>
      <w:r w:rsidRPr="004C52D9">
        <w:rPr>
          <w:rFonts w:ascii="Times New Roman" w:eastAsia="宋体" w:hAnsi="Times New Roman" w:cs="Times New Roman"/>
        </w:rPr>
        <w:t>E) Percentage of data with different absolute errors at various uncertainty intervals evaluated on the test set. Red, yellow, light blue, and blue represent the cutoffs of absolute errors 0-0.1, 0.1-0.2, 0.2-0.3, and</w:t>
      </w:r>
      <w:r w:rsidRPr="009131D4">
        <w:rPr>
          <w:rFonts w:ascii="Times New Roman" w:eastAsia="宋体" w:hAnsi="Times New Roman" w:cs="Times New Roman"/>
        </w:rPr>
        <w:t xml:space="preserve"> ≥0.3,</w:t>
      </w:r>
      <w:r w:rsidRPr="004C52D9">
        <w:rPr>
          <w:rFonts w:ascii="Times New Roman" w:eastAsia="宋体" w:hAnsi="Times New Roman" w:cs="Times New Roman"/>
        </w:rPr>
        <w:t xml:space="preserve"> respectively. The red line represents the number of samples in each of the five intervals. </w:t>
      </w:r>
      <w:r>
        <w:rPr>
          <w:rFonts w:ascii="Times New Roman" w:eastAsia="宋体" w:hAnsi="Times New Roman" w:cs="Times New Roman"/>
        </w:rPr>
        <w:t>(</w:t>
      </w:r>
      <w:r w:rsidRPr="004C52D9">
        <w:rPr>
          <w:rFonts w:ascii="Times New Roman" w:eastAsia="宋体" w:hAnsi="Times New Roman" w:cs="Times New Roman"/>
        </w:rPr>
        <w:t xml:space="preserve">F) Visualization of </w:t>
      </w:r>
      <w:r w:rsidRPr="004C52D9">
        <w:rPr>
          <w:rFonts w:ascii="Times New Roman" w:eastAsia="宋体" w:hAnsi="Times New Roman" w:cs="Times New Roman"/>
        </w:rPr>
        <w:lastRenderedPageBreak/>
        <w:t xml:space="preserve">total uncertainty in the chemical structural space on the test set. Circle size indicates the magnitude of the error, while color represents the uncertainty value. </w:t>
      </w:r>
    </w:p>
    <w:p w14:paraId="1058CB66" w14:textId="77777777" w:rsidR="0020202E" w:rsidRPr="004C52D9" w:rsidRDefault="0020202E" w:rsidP="0020202E">
      <w:pPr>
        <w:pStyle w:val="af0"/>
        <w:spacing w:line="276" w:lineRule="auto"/>
        <w:ind w:firstLineChars="0" w:firstLine="0"/>
        <w:rPr>
          <w:rFonts w:ascii="Times New Roman" w:eastAsia="宋体" w:hAnsi="Times New Roman" w:cs="Times New Roman"/>
        </w:rPr>
      </w:pPr>
    </w:p>
    <w:p w14:paraId="397FC0A0" w14:textId="77777777" w:rsidR="0020202E" w:rsidRPr="005C60FF" w:rsidRDefault="0020202E" w:rsidP="0020202E">
      <w:pPr>
        <w:pStyle w:val="af0"/>
        <w:spacing w:beforeLines="50" w:before="156" w:afterLines="50" w:after="156" w:line="276" w:lineRule="auto"/>
        <w:ind w:firstLineChars="0" w:firstLine="0"/>
        <w:outlineLvl w:val="1"/>
        <w:rPr>
          <w:rFonts w:ascii="Times New Roman" w:hAnsi="Times New Roman" w:cs="Times New Roman"/>
          <w:bCs/>
          <w:sz w:val="32"/>
          <w:szCs w:val="24"/>
        </w:rPr>
      </w:pPr>
      <w:r w:rsidRPr="005C60FF">
        <w:rPr>
          <w:rFonts w:ascii="Times New Roman" w:hAnsi="Times New Roman" w:cs="Times New Roman"/>
          <w:bCs/>
          <w:sz w:val="32"/>
          <w:szCs w:val="24"/>
        </w:rPr>
        <w:t>3.4 Uncertainty-guided virtual screening and experimental validation</w:t>
      </w:r>
    </w:p>
    <w:p w14:paraId="750D9948" w14:textId="77777777" w:rsidR="0020202E" w:rsidRPr="004D1F91" w:rsidRDefault="0020202E" w:rsidP="0020202E">
      <w:pPr>
        <w:pStyle w:val="af0"/>
        <w:spacing w:beforeLines="50" w:before="156" w:afterLines="50" w:after="156" w:line="276" w:lineRule="auto"/>
        <w:ind w:firstLine="480"/>
        <w:rPr>
          <w:rFonts w:ascii="Times New Roman" w:eastAsia="宋体" w:hAnsi="Times New Roman" w:cs="Times New Roman"/>
          <w:sz w:val="24"/>
          <w:szCs w:val="28"/>
        </w:rPr>
      </w:pPr>
      <w:r w:rsidRPr="004D1F91">
        <w:rPr>
          <w:rFonts w:ascii="Times New Roman" w:eastAsia="宋体" w:hAnsi="Times New Roman" w:cs="Times New Roman"/>
          <w:sz w:val="24"/>
          <w:szCs w:val="28"/>
        </w:rPr>
        <w:t>Based on these promising results, we conducted uncertainty-guided virtual screening of CYP3A4 inhibitors using 150 in-house compounds that were no</w:t>
      </w:r>
      <w:r>
        <w:rPr>
          <w:rFonts w:ascii="Times New Roman" w:eastAsia="宋体" w:hAnsi="Times New Roman" w:cs="Times New Roman"/>
          <w:sz w:val="24"/>
          <w:szCs w:val="28"/>
        </w:rPr>
        <w:t>t</w:t>
      </w:r>
      <w:r w:rsidRPr="004D1F91">
        <w:rPr>
          <w:rFonts w:ascii="Times New Roman" w:eastAsia="宋体" w:hAnsi="Times New Roman" w:cs="Times New Roman"/>
          <w:sz w:val="24"/>
          <w:szCs w:val="28"/>
        </w:rPr>
        <w:t xml:space="preserve"> </w:t>
      </w:r>
      <w:r>
        <w:rPr>
          <w:rFonts w:ascii="Times New Roman" w:eastAsia="宋体" w:hAnsi="Times New Roman" w:cs="Times New Roman"/>
          <w:sz w:val="24"/>
          <w:szCs w:val="28"/>
        </w:rPr>
        <w:t>used</w:t>
      </w:r>
      <w:r w:rsidRPr="004D1F91">
        <w:rPr>
          <w:rFonts w:ascii="Times New Roman" w:eastAsia="宋体" w:hAnsi="Times New Roman" w:cs="Times New Roman"/>
          <w:sz w:val="24"/>
          <w:szCs w:val="28"/>
        </w:rPr>
        <w:t xml:space="preserve"> in model construction. We predicted the pIC</w:t>
      </w:r>
      <w:r w:rsidRPr="004D1F91">
        <w:rPr>
          <w:rFonts w:ascii="Times New Roman" w:eastAsia="宋体" w:hAnsi="Times New Roman" w:cs="Times New Roman"/>
          <w:sz w:val="24"/>
          <w:szCs w:val="28"/>
          <w:vertAlign w:val="subscript"/>
        </w:rPr>
        <w:t>50</w:t>
      </w:r>
      <w:r w:rsidRPr="004D1F91">
        <w:rPr>
          <w:rFonts w:ascii="Times New Roman" w:eastAsia="宋体" w:hAnsi="Times New Roman" w:cs="Times New Roman"/>
          <w:sz w:val="24"/>
          <w:szCs w:val="28"/>
        </w:rPr>
        <w:t>, as well as aleatoric and epistemic uncertainty values for each compound. To comprehensively evaluate the 150</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prediction</w:t>
      </w:r>
      <w:r w:rsidRPr="004D1F91">
        <w:rPr>
          <w:rFonts w:ascii="Times New Roman" w:eastAsia="宋体" w:hAnsi="Times New Roman" w:cs="Times New Roman"/>
          <w:sz w:val="24"/>
          <w:szCs w:val="28"/>
        </w:rPr>
        <w:t>s, we performed single-point screening for all compounds, and the active compounds were further subjected to accurate IC</w:t>
      </w:r>
      <w:r w:rsidRPr="004D1F91">
        <w:rPr>
          <w:rFonts w:ascii="Times New Roman" w:eastAsia="宋体" w:hAnsi="Times New Roman" w:cs="Times New Roman"/>
          <w:sz w:val="24"/>
          <w:szCs w:val="28"/>
          <w:vertAlign w:val="subscript"/>
        </w:rPr>
        <w:t>50</w:t>
      </w:r>
      <w:r w:rsidRPr="004D1F91">
        <w:rPr>
          <w:rFonts w:ascii="Times New Roman" w:eastAsia="宋体" w:hAnsi="Times New Roman" w:cs="Times New Roman"/>
          <w:sz w:val="24"/>
          <w:szCs w:val="28"/>
        </w:rPr>
        <w:t xml:space="preserve"> measurements</w:t>
      </w:r>
      <w:r>
        <w:rPr>
          <w:rFonts w:ascii="Times New Roman" w:eastAsia="宋体" w:hAnsi="Times New Roman" w:cs="Times New Roman"/>
          <w:sz w:val="24"/>
          <w:szCs w:val="28"/>
        </w:rPr>
        <w:t xml:space="preserve"> (Table S8)</w:t>
      </w:r>
      <w:r w:rsidRPr="004D1F91">
        <w:rPr>
          <w:rFonts w:ascii="Times New Roman" w:eastAsia="宋体" w:hAnsi="Times New Roman" w:cs="Times New Roman"/>
          <w:sz w:val="24"/>
          <w:szCs w:val="28"/>
        </w:rPr>
        <w:t>.</w:t>
      </w:r>
    </w:p>
    <w:p w14:paraId="25BE5339" w14:textId="77777777" w:rsidR="0020202E" w:rsidRPr="004D1F91" w:rsidRDefault="0020202E" w:rsidP="0020202E">
      <w:pPr>
        <w:pStyle w:val="af0"/>
        <w:spacing w:beforeLines="50" w:before="156" w:afterLines="50" w:after="156" w:line="276" w:lineRule="auto"/>
        <w:ind w:firstLine="480"/>
        <w:rPr>
          <w:rFonts w:ascii="Times New Roman" w:eastAsia="宋体" w:hAnsi="Times New Roman" w:cs="Times New Roman"/>
          <w:sz w:val="24"/>
          <w:szCs w:val="28"/>
        </w:rPr>
      </w:pPr>
      <w:r w:rsidRPr="004D1F91">
        <w:rPr>
          <w:rFonts w:ascii="Times New Roman" w:eastAsia="宋体" w:hAnsi="Times New Roman" w:cs="Times New Roman"/>
          <w:sz w:val="24"/>
          <w:szCs w:val="28"/>
        </w:rPr>
        <w:t xml:space="preserve">The hit rate of virtual screening is a crucial performance metric frequently used to evaluate the effectiveness of computational methods in identifying active compounds from a large chemical database. Here, we compared </w:t>
      </w:r>
      <w:r>
        <w:rPr>
          <w:rFonts w:ascii="Times New Roman" w:eastAsia="宋体" w:hAnsi="Times New Roman" w:cs="Times New Roman" w:hint="eastAsia"/>
          <w:sz w:val="24"/>
          <w:szCs w:val="28"/>
        </w:rPr>
        <w:t>the</w:t>
      </w:r>
      <w:r>
        <w:rPr>
          <w:rFonts w:ascii="Times New Roman" w:eastAsia="宋体" w:hAnsi="Times New Roman" w:cs="Times New Roman"/>
          <w:sz w:val="24"/>
          <w:szCs w:val="28"/>
        </w:rPr>
        <w:t xml:space="preserve"> hit rate based on </w:t>
      </w:r>
      <w:r w:rsidRPr="004D1F91">
        <w:rPr>
          <w:rFonts w:ascii="Times New Roman" w:eastAsia="宋体" w:hAnsi="Times New Roman" w:cs="Times New Roman"/>
          <w:sz w:val="24"/>
          <w:szCs w:val="28"/>
        </w:rPr>
        <w:t>three ranking strategies: Strategy 1 (ranking by predictive pIC</w:t>
      </w:r>
      <w:r w:rsidRPr="004D1F91">
        <w:rPr>
          <w:rFonts w:ascii="Times New Roman" w:eastAsia="宋体" w:hAnsi="Times New Roman" w:cs="Times New Roman"/>
          <w:sz w:val="24"/>
          <w:szCs w:val="28"/>
          <w:vertAlign w:val="subscript"/>
        </w:rPr>
        <w:t xml:space="preserve">50 </w:t>
      </w:r>
      <w:r w:rsidRPr="004D1F91">
        <w:rPr>
          <w:rFonts w:ascii="Times New Roman" w:eastAsia="宋体" w:hAnsi="Times New Roman" w:cs="Times New Roman"/>
          <w:sz w:val="24"/>
          <w:szCs w:val="28"/>
        </w:rPr>
        <w:t>values), Strategy 2 (ranking by total uncertainty values), and Strategy 3 (ranking data with predictive pIC</w:t>
      </w:r>
      <w:r w:rsidRPr="004D1F91">
        <w:rPr>
          <w:rFonts w:ascii="Times New Roman" w:eastAsia="宋体" w:hAnsi="Times New Roman" w:cs="Times New Roman"/>
          <w:sz w:val="24"/>
          <w:szCs w:val="28"/>
          <w:vertAlign w:val="subscript"/>
        </w:rPr>
        <w:t xml:space="preserve">50 </w:t>
      </w:r>
      <w:r w:rsidRPr="004D1F91">
        <w:rPr>
          <w:rFonts w:ascii="Times New Roman" w:eastAsia="宋体" w:hAnsi="Times New Roman" w:cs="Times New Roman"/>
          <w:sz w:val="24"/>
          <w:szCs w:val="28"/>
        </w:rPr>
        <w:t xml:space="preserve">&gt; 5 </w:t>
      </w:r>
      <w:r>
        <w:rPr>
          <w:rFonts w:ascii="Times New Roman" w:eastAsia="宋体" w:hAnsi="Times New Roman" w:cs="Times New Roman"/>
          <w:sz w:val="24"/>
          <w:szCs w:val="28"/>
        </w:rPr>
        <w:t>based on</w:t>
      </w:r>
      <w:r w:rsidRPr="004D1F91">
        <w:rPr>
          <w:rFonts w:ascii="Times New Roman" w:eastAsia="宋体" w:hAnsi="Times New Roman" w:cs="Times New Roman"/>
          <w:sz w:val="24"/>
          <w:szCs w:val="28"/>
        </w:rPr>
        <w:t xml:space="preserve"> total uncertainty values). Interestingly, uncertainty-informed ranking (Strategies 2 and 3) led to a significant increase in the hit ratio compared to only considering pIC</w:t>
      </w:r>
      <w:r w:rsidRPr="004D1F91">
        <w:rPr>
          <w:rFonts w:ascii="Times New Roman" w:eastAsia="宋体" w:hAnsi="Times New Roman" w:cs="Times New Roman"/>
          <w:sz w:val="24"/>
          <w:szCs w:val="28"/>
          <w:vertAlign w:val="subscript"/>
        </w:rPr>
        <w:t>50</w:t>
      </w:r>
      <w:r w:rsidRPr="004D1F91">
        <w:rPr>
          <w:rFonts w:ascii="Times New Roman" w:eastAsia="宋体" w:hAnsi="Times New Roman" w:cs="Times New Roman"/>
          <w:sz w:val="24"/>
          <w:szCs w:val="28"/>
        </w:rPr>
        <w:t xml:space="preserve"> values (Strategy 1). Notably, Strategy 3 showed the most remarkable enrichment, with </w:t>
      </w:r>
      <w:r>
        <w:rPr>
          <w:rFonts w:ascii="Times New Roman" w:eastAsia="宋体" w:hAnsi="Times New Roman" w:cs="Times New Roman"/>
          <w:sz w:val="24"/>
          <w:szCs w:val="28"/>
        </w:rPr>
        <w:t>8</w:t>
      </w:r>
      <w:r w:rsidRPr="004D1F91">
        <w:rPr>
          <w:rFonts w:ascii="Times New Roman" w:eastAsia="宋体" w:hAnsi="Times New Roman" w:cs="Times New Roman"/>
          <w:sz w:val="24"/>
          <w:szCs w:val="28"/>
        </w:rPr>
        <w:t xml:space="preserve"> </w:t>
      </w:r>
      <w:r>
        <w:rPr>
          <w:rFonts w:ascii="Times New Roman" w:eastAsia="宋体" w:hAnsi="Times New Roman" w:cs="Times New Roman"/>
          <w:sz w:val="24"/>
          <w:szCs w:val="28"/>
        </w:rPr>
        <w:t>hit</w:t>
      </w:r>
      <w:r w:rsidRPr="004D1F91">
        <w:rPr>
          <w:rFonts w:ascii="Times New Roman" w:eastAsia="宋体" w:hAnsi="Times New Roman" w:cs="Times New Roman"/>
          <w:sz w:val="24"/>
          <w:szCs w:val="28"/>
        </w:rPr>
        <w:t xml:space="preserve">s found in the top 10 rankings and 15 </w:t>
      </w:r>
      <w:r>
        <w:rPr>
          <w:rFonts w:ascii="Times New Roman" w:eastAsia="宋体" w:hAnsi="Times New Roman" w:cs="Times New Roman"/>
          <w:sz w:val="24"/>
          <w:szCs w:val="28"/>
        </w:rPr>
        <w:t>hit</w:t>
      </w:r>
      <w:r w:rsidRPr="004D1F91">
        <w:rPr>
          <w:rFonts w:ascii="Times New Roman" w:eastAsia="宋体" w:hAnsi="Times New Roman" w:cs="Times New Roman"/>
          <w:sz w:val="24"/>
          <w:szCs w:val="28"/>
        </w:rPr>
        <w:t>s found in the top 20 rankings (</w:t>
      </w:r>
      <w:r>
        <w:rPr>
          <w:rFonts w:ascii="Times New Roman" w:eastAsia="宋体" w:hAnsi="Times New Roman" w:cs="Times New Roman"/>
          <w:sz w:val="24"/>
          <w:szCs w:val="28"/>
        </w:rPr>
        <w:t xml:space="preserve">Figure 6, </w:t>
      </w:r>
      <w:r w:rsidRPr="004D1F91">
        <w:rPr>
          <w:rFonts w:ascii="Times New Roman" w:eastAsia="宋体" w:hAnsi="Times New Roman" w:cs="Times New Roman"/>
          <w:sz w:val="24"/>
          <w:szCs w:val="28"/>
        </w:rPr>
        <w:t>Table 4</w:t>
      </w:r>
      <w:r>
        <w:rPr>
          <w:rFonts w:ascii="Times New Roman" w:eastAsia="宋体" w:hAnsi="Times New Roman" w:cs="Times New Roman"/>
          <w:sz w:val="24"/>
          <w:szCs w:val="28"/>
        </w:rPr>
        <w:t>, and Table S9</w:t>
      </w:r>
      <w:r w:rsidRPr="004D1F91">
        <w:rPr>
          <w:rFonts w:ascii="Times New Roman" w:eastAsia="宋体" w:hAnsi="Times New Roman" w:cs="Times New Roman"/>
          <w:sz w:val="24"/>
          <w:szCs w:val="28"/>
        </w:rPr>
        <w:t xml:space="preserve">). </w:t>
      </w:r>
      <w:r w:rsidRPr="00AC2722">
        <w:rPr>
          <w:rFonts w:ascii="Times New Roman" w:eastAsia="宋体" w:hAnsi="Times New Roman" w:cs="Times New Roman"/>
          <w:sz w:val="24"/>
          <w:szCs w:val="28"/>
        </w:rPr>
        <w:t xml:space="preserve">At the same time, it </w:t>
      </w:r>
      <w:r>
        <w:rPr>
          <w:rFonts w:ascii="Times New Roman" w:eastAsia="宋体" w:hAnsi="Times New Roman" w:cs="Times New Roman"/>
          <w:sz w:val="24"/>
          <w:szCs w:val="28"/>
        </w:rPr>
        <w:t>was</w:t>
      </w:r>
      <w:r w:rsidRPr="00AC2722">
        <w:rPr>
          <w:rFonts w:ascii="Times New Roman" w:eastAsia="宋体" w:hAnsi="Times New Roman" w:cs="Times New Roman"/>
          <w:sz w:val="24"/>
          <w:szCs w:val="28"/>
        </w:rPr>
        <w:t xml:space="preserve"> observed that data with lower uncertainty values ha</w:t>
      </w:r>
      <w:r>
        <w:rPr>
          <w:rFonts w:ascii="Times New Roman" w:eastAsia="宋体" w:hAnsi="Times New Roman" w:cs="Times New Roman"/>
          <w:sz w:val="24"/>
          <w:szCs w:val="28"/>
        </w:rPr>
        <w:t>d</w:t>
      </w:r>
      <w:r w:rsidRPr="00AC2722">
        <w:rPr>
          <w:rFonts w:ascii="Times New Roman" w:eastAsia="宋体" w:hAnsi="Times New Roman" w:cs="Times New Roman"/>
          <w:sz w:val="24"/>
          <w:szCs w:val="28"/>
        </w:rPr>
        <w:t xml:space="preserve"> lower prediction errors</w:t>
      </w:r>
      <w:r w:rsidRPr="004D1F91">
        <w:rPr>
          <w:rFonts w:ascii="Times New Roman" w:eastAsia="宋体" w:hAnsi="Times New Roman" w:cs="Times New Roman"/>
          <w:sz w:val="24"/>
          <w:szCs w:val="28"/>
        </w:rPr>
        <w:t xml:space="preserve"> (Table 4). This result highlights the importance of ranking with uncertainty, as it substantially enriches the candidate set for experimental hits, while the performance is greatly reduced when only considering predictive value without uncertainty.</w:t>
      </w:r>
    </w:p>
    <w:p w14:paraId="2DCC35B1" w14:textId="402D3728" w:rsidR="0020202E" w:rsidRPr="004C52D9" w:rsidRDefault="00C54B3E" w:rsidP="0020202E">
      <w:pPr>
        <w:pStyle w:val="af0"/>
        <w:spacing w:line="276" w:lineRule="auto"/>
        <w:ind w:leftChars="86" w:left="181" w:firstLineChars="0" w:firstLine="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6F244DF0" wp14:editId="1AC97E12">
            <wp:extent cx="3735092" cy="2423155"/>
            <wp:effectExtent l="0" t="0" r="0" b="0"/>
            <wp:docPr id="6132445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3978" cy="2441895"/>
                    </a:xfrm>
                    <a:prstGeom prst="rect">
                      <a:avLst/>
                    </a:prstGeom>
                    <a:noFill/>
                  </pic:spPr>
                </pic:pic>
              </a:graphicData>
            </a:graphic>
          </wp:inline>
        </w:drawing>
      </w:r>
    </w:p>
    <w:p w14:paraId="0E34A171" w14:textId="77777777" w:rsidR="0020202E" w:rsidRPr="004D1F91" w:rsidRDefault="0020202E" w:rsidP="0020202E">
      <w:pPr>
        <w:pStyle w:val="af0"/>
        <w:spacing w:line="276" w:lineRule="auto"/>
        <w:ind w:leftChars="86" w:left="181" w:firstLineChars="0" w:firstLine="0"/>
        <w:rPr>
          <w:rFonts w:ascii="Times New Roman" w:eastAsia="宋体" w:hAnsi="Times New Roman" w:cs="Times New Roman"/>
        </w:rPr>
      </w:pPr>
      <w:r w:rsidRPr="004C52D9">
        <w:rPr>
          <w:rFonts w:ascii="Times New Roman" w:eastAsia="宋体" w:hAnsi="Times New Roman" w:cs="Times New Roman"/>
        </w:rPr>
        <w:t xml:space="preserve">Figure </w:t>
      </w:r>
      <w:r>
        <w:rPr>
          <w:rFonts w:ascii="Times New Roman" w:eastAsia="宋体" w:hAnsi="Times New Roman" w:cs="Times New Roman"/>
        </w:rPr>
        <w:t>6</w:t>
      </w:r>
      <w:r w:rsidRPr="004C52D9">
        <w:rPr>
          <w:rFonts w:ascii="Times New Roman" w:eastAsia="宋体" w:hAnsi="Times New Roman" w:cs="Times New Roman"/>
        </w:rPr>
        <w:t xml:space="preserve">. The hit rate of virtual screening </w:t>
      </w:r>
      <w:r>
        <w:rPr>
          <w:rFonts w:ascii="Times New Roman" w:eastAsia="宋体" w:hAnsi="Times New Roman" w:cs="Times New Roman"/>
        </w:rPr>
        <w:t>among</w:t>
      </w:r>
      <w:r w:rsidRPr="004C52D9">
        <w:rPr>
          <w:rFonts w:ascii="Times New Roman" w:eastAsia="宋体" w:hAnsi="Times New Roman" w:cs="Times New Roman"/>
        </w:rPr>
        <w:t xml:space="preserve"> 150 in-house compounds. Strategy 1 indicates ranking by predictive pIC</w:t>
      </w:r>
      <w:r w:rsidRPr="005C60FF">
        <w:rPr>
          <w:rFonts w:ascii="Times New Roman" w:eastAsia="宋体" w:hAnsi="Times New Roman" w:cs="Times New Roman"/>
          <w:vertAlign w:val="subscript"/>
        </w:rPr>
        <w:t>50</w:t>
      </w:r>
      <w:r w:rsidRPr="004C52D9">
        <w:rPr>
          <w:rFonts w:ascii="Times New Roman" w:eastAsia="宋体" w:hAnsi="Times New Roman" w:cs="Times New Roman"/>
        </w:rPr>
        <w:t xml:space="preserve"> values, Strategy 2 indicates ranking by total uncertainty values, and Strategy 3 </w:t>
      </w:r>
      <w:r w:rsidRPr="004C52D9">
        <w:rPr>
          <w:rFonts w:ascii="Times New Roman" w:eastAsia="宋体" w:hAnsi="Times New Roman" w:cs="Times New Roman"/>
        </w:rPr>
        <w:lastRenderedPageBreak/>
        <w:t>indicates ranking data with predictive pIC</w:t>
      </w:r>
      <w:r w:rsidRPr="004C52D9">
        <w:rPr>
          <w:rFonts w:ascii="Times New Roman" w:eastAsia="宋体" w:hAnsi="Times New Roman" w:cs="Times New Roman"/>
          <w:vertAlign w:val="subscript"/>
        </w:rPr>
        <w:t>50</w:t>
      </w:r>
      <w:r w:rsidRPr="004C52D9">
        <w:rPr>
          <w:rFonts w:ascii="Times New Roman" w:eastAsia="宋体" w:hAnsi="Times New Roman" w:cs="Times New Roman"/>
        </w:rPr>
        <w:t xml:space="preserve"> &gt; 5 by total uncertainty values.</w:t>
      </w:r>
    </w:p>
    <w:p w14:paraId="1422333C" w14:textId="77777777" w:rsidR="0020202E" w:rsidRPr="004C52D9" w:rsidRDefault="0020202E" w:rsidP="0020202E">
      <w:pPr>
        <w:pStyle w:val="af0"/>
        <w:spacing w:line="276" w:lineRule="auto"/>
        <w:ind w:leftChars="86" w:left="181" w:firstLineChars="0" w:firstLine="0"/>
        <w:rPr>
          <w:rFonts w:ascii="Times New Roman" w:eastAsia="宋体" w:hAnsi="Times New Roman" w:cs="Times New Roman"/>
        </w:rPr>
      </w:pPr>
    </w:p>
    <w:p w14:paraId="7F144DB3" w14:textId="16A00EDD" w:rsidR="0020202E" w:rsidRPr="004C52D9" w:rsidRDefault="0020202E" w:rsidP="0020202E">
      <w:pPr>
        <w:pStyle w:val="af0"/>
        <w:spacing w:line="276" w:lineRule="auto"/>
        <w:ind w:leftChars="86" w:left="181" w:firstLineChars="0" w:firstLine="0"/>
        <w:jc w:val="center"/>
        <w:rPr>
          <w:rFonts w:ascii="Times New Roman" w:eastAsia="宋体" w:hAnsi="Times New Roman" w:cs="Times New Roman"/>
        </w:rPr>
      </w:pPr>
      <w:r w:rsidRPr="004C52D9">
        <w:rPr>
          <w:rFonts w:ascii="Times New Roman" w:eastAsia="宋体" w:hAnsi="Times New Roman" w:cs="Times New Roman"/>
        </w:rPr>
        <w:t>Table 4. Hit rates and RMSEs of the top-ranking predictions by Strategy 3</w:t>
      </w:r>
      <w:r w:rsidR="00FB517E">
        <w:rPr>
          <w:rFonts w:ascii="Times New Roman" w:eastAsia="宋体" w:hAnsi="Times New Roman" w:cs="Times New Roman"/>
          <w:vertAlign w:val="superscript"/>
        </w:rPr>
        <w:t>a</w:t>
      </w:r>
      <w:r w:rsidRPr="004C52D9">
        <w:rPr>
          <w:rFonts w:ascii="Times New Roman" w:eastAsia="宋体" w:hAnsi="Times New Roman" w:cs="Times New Roman"/>
        </w:rPr>
        <w:t>.</w:t>
      </w:r>
    </w:p>
    <w:tbl>
      <w:tblPr>
        <w:tblW w:w="8765" w:type="dxa"/>
        <w:jc w:val="center"/>
        <w:tblLayout w:type="fixed"/>
        <w:tblLook w:val="04A0" w:firstRow="1" w:lastRow="0" w:firstColumn="1" w:lastColumn="0" w:noHBand="0" w:noVBand="1"/>
      </w:tblPr>
      <w:tblGrid>
        <w:gridCol w:w="2191"/>
        <w:gridCol w:w="2191"/>
        <w:gridCol w:w="2191"/>
        <w:gridCol w:w="2192"/>
      </w:tblGrid>
      <w:tr w:rsidR="0020202E" w:rsidRPr="004C52D9" w14:paraId="443A3520" w14:textId="77777777" w:rsidTr="007C16F6">
        <w:trPr>
          <w:trHeight w:val="371"/>
          <w:jc w:val="center"/>
        </w:trPr>
        <w:tc>
          <w:tcPr>
            <w:tcW w:w="2191" w:type="dxa"/>
            <w:tcBorders>
              <w:top w:val="single" w:sz="8" w:space="0" w:color="auto"/>
              <w:left w:val="nil"/>
              <w:bottom w:val="single" w:sz="4" w:space="0" w:color="auto"/>
              <w:right w:val="nil"/>
            </w:tcBorders>
            <w:shd w:val="clear" w:color="auto" w:fill="auto"/>
            <w:noWrap/>
            <w:vAlign w:val="bottom"/>
            <w:hideMark/>
          </w:tcPr>
          <w:p w14:paraId="48F5C21D" w14:textId="77777777" w:rsidR="0020202E" w:rsidRPr="006F3EB0" w:rsidRDefault="0020202E" w:rsidP="007C16F6">
            <w:pPr>
              <w:widowControl/>
              <w:jc w:val="center"/>
              <w:rPr>
                <w:rFonts w:ascii="Times New Roman" w:eastAsia="等线" w:hAnsi="Times New Roman" w:cs="Times New Roman"/>
                <w:color w:val="000000"/>
                <w:kern w:val="0"/>
                <w:szCs w:val="21"/>
              </w:rPr>
            </w:pPr>
            <w:r>
              <w:rPr>
                <w:rFonts w:ascii="Times New Roman" w:eastAsia="等线" w:hAnsi="Times New Roman" w:cs="Times New Roman"/>
                <w:color w:val="000000"/>
                <w:kern w:val="0"/>
                <w:szCs w:val="21"/>
              </w:rPr>
              <w:t>Top k</w:t>
            </w:r>
          </w:p>
        </w:tc>
        <w:tc>
          <w:tcPr>
            <w:tcW w:w="2191" w:type="dxa"/>
            <w:tcBorders>
              <w:top w:val="single" w:sz="8" w:space="0" w:color="auto"/>
              <w:left w:val="nil"/>
              <w:bottom w:val="single" w:sz="4" w:space="0" w:color="auto"/>
              <w:right w:val="nil"/>
            </w:tcBorders>
            <w:shd w:val="clear" w:color="auto" w:fill="auto"/>
            <w:noWrap/>
            <w:vAlign w:val="bottom"/>
            <w:hideMark/>
          </w:tcPr>
          <w:p w14:paraId="1724B691" w14:textId="77777777" w:rsidR="0020202E" w:rsidRPr="006F3EB0" w:rsidRDefault="0020202E" w:rsidP="007C16F6">
            <w:pPr>
              <w:widowControl/>
              <w:jc w:val="center"/>
              <w:rPr>
                <w:rFonts w:ascii="Times New Roman" w:eastAsia="等线" w:hAnsi="Times New Roman" w:cs="Times New Roman"/>
                <w:color w:val="000000"/>
                <w:kern w:val="0"/>
                <w:szCs w:val="21"/>
              </w:rPr>
            </w:pPr>
            <w:r>
              <w:rPr>
                <w:rFonts w:ascii="Times New Roman" w:eastAsia="等线" w:hAnsi="Times New Roman" w:cs="Times New Roman"/>
                <w:color w:val="000000"/>
                <w:kern w:val="0"/>
                <w:szCs w:val="21"/>
              </w:rPr>
              <w:t>Hit number</w:t>
            </w:r>
          </w:p>
        </w:tc>
        <w:tc>
          <w:tcPr>
            <w:tcW w:w="2191" w:type="dxa"/>
            <w:tcBorders>
              <w:top w:val="single" w:sz="8" w:space="0" w:color="auto"/>
              <w:left w:val="nil"/>
              <w:bottom w:val="single" w:sz="4" w:space="0" w:color="auto"/>
              <w:right w:val="nil"/>
            </w:tcBorders>
            <w:shd w:val="clear" w:color="auto" w:fill="auto"/>
            <w:noWrap/>
            <w:vAlign w:val="bottom"/>
            <w:hideMark/>
          </w:tcPr>
          <w:p w14:paraId="767C9EF5" w14:textId="77777777" w:rsidR="0020202E" w:rsidRPr="006F3EB0" w:rsidRDefault="0020202E" w:rsidP="007C16F6">
            <w:pPr>
              <w:widowControl/>
              <w:jc w:val="center"/>
              <w:rPr>
                <w:rFonts w:ascii="Times New Roman" w:eastAsia="等线" w:hAnsi="Times New Roman" w:cs="Times New Roman"/>
                <w:color w:val="000000"/>
                <w:kern w:val="0"/>
                <w:szCs w:val="21"/>
              </w:rPr>
            </w:pPr>
            <w:r w:rsidRPr="006F3EB0">
              <w:rPr>
                <w:rFonts w:ascii="Times New Roman" w:eastAsia="等线" w:hAnsi="Times New Roman" w:cs="Times New Roman"/>
                <w:color w:val="000000"/>
                <w:kern w:val="0"/>
                <w:szCs w:val="21"/>
              </w:rPr>
              <w:t>Hit rate</w:t>
            </w:r>
          </w:p>
        </w:tc>
        <w:tc>
          <w:tcPr>
            <w:tcW w:w="2192" w:type="dxa"/>
            <w:tcBorders>
              <w:top w:val="single" w:sz="8" w:space="0" w:color="auto"/>
              <w:left w:val="nil"/>
              <w:bottom w:val="single" w:sz="4" w:space="0" w:color="auto"/>
              <w:right w:val="nil"/>
            </w:tcBorders>
            <w:shd w:val="clear" w:color="auto" w:fill="auto"/>
            <w:noWrap/>
            <w:vAlign w:val="bottom"/>
            <w:hideMark/>
          </w:tcPr>
          <w:p w14:paraId="25EB0562" w14:textId="1566EDAF" w:rsidR="0020202E" w:rsidRPr="006F3EB0" w:rsidRDefault="0020202E" w:rsidP="007C16F6">
            <w:pPr>
              <w:widowControl/>
              <w:jc w:val="center"/>
              <w:rPr>
                <w:rFonts w:ascii="Times New Roman" w:eastAsia="等线" w:hAnsi="Times New Roman" w:cs="Times New Roman"/>
                <w:color w:val="000000"/>
                <w:kern w:val="0"/>
                <w:szCs w:val="21"/>
              </w:rPr>
            </w:pPr>
            <w:proofErr w:type="spellStart"/>
            <w:r w:rsidRPr="006F3EB0">
              <w:rPr>
                <w:rFonts w:ascii="Times New Roman" w:eastAsia="等线" w:hAnsi="Times New Roman" w:cs="Times New Roman"/>
                <w:color w:val="000000"/>
                <w:kern w:val="0"/>
                <w:szCs w:val="21"/>
              </w:rPr>
              <w:t>RMSE</w:t>
            </w:r>
            <w:r w:rsidR="00FB517E" w:rsidRPr="00FB517E">
              <w:rPr>
                <w:rFonts w:ascii="Times New Roman" w:eastAsia="等线" w:hAnsi="Times New Roman" w:cs="Times New Roman"/>
                <w:color w:val="000000"/>
                <w:kern w:val="0"/>
                <w:szCs w:val="21"/>
                <w:vertAlign w:val="superscript"/>
              </w:rPr>
              <w:t>b</w:t>
            </w:r>
            <w:proofErr w:type="spellEnd"/>
          </w:p>
        </w:tc>
      </w:tr>
      <w:tr w:rsidR="0020202E" w:rsidRPr="004C52D9" w14:paraId="34AC8436" w14:textId="77777777" w:rsidTr="007C16F6">
        <w:trPr>
          <w:trHeight w:val="371"/>
          <w:jc w:val="center"/>
        </w:trPr>
        <w:tc>
          <w:tcPr>
            <w:tcW w:w="2191" w:type="dxa"/>
            <w:tcBorders>
              <w:top w:val="nil"/>
              <w:left w:val="nil"/>
              <w:bottom w:val="nil"/>
              <w:right w:val="nil"/>
            </w:tcBorders>
            <w:shd w:val="clear" w:color="auto" w:fill="auto"/>
            <w:noWrap/>
            <w:vAlign w:val="bottom"/>
            <w:hideMark/>
          </w:tcPr>
          <w:p w14:paraId="0814F321" w14:textId="77777777" w:rsidR="0020202E" w:rsidRPr="006F3EB0" w:rsidRDefault="0020202E" w:rsidP="007C16F6">
            <w:pPr>
              <w:widowControl/>
              <w:jc w:val="center"/>
              <w:rPr>
                <w:rFonts w:ascii="Times New Roman" w:eastAsia="等线" w:hAnsi="Times New Roman" w:cs="Times New Roman"/>
                <w:b/>
                <w:bCs/>
                <w:color w:val="000000"/>
                <w:kern w:val="0"/>
                <w:szCs w:val="21"/>
              </w:rPr>
            </w:pPr>
            <w:r w:rsidRPr="006F3EB0">
              <w:rPr>
                <w:rFonts w:ascii="Times New Roman" w:eastAsia="等线" w:hAnsi="Times New Roman" w:cs="Times New Roman"/>
                <w:b/>
                <w:bCs/>
                <w:color w:val="000000"/>
                <w:kern w:val="0"/>
                <w:szCs w:val="21"/>
              </w:rPr>
              <w:t>top 10</w:t>
            </w:r>
          </w:p>
        </w:tc>
        <w:tc>
          <w:tcPr>
            <w:tcW w:w="2191" w:type="dxa"/>
            <w:tcBorders>
              <w:top w:val="nil"/>
              <w:left w:val="nil"/>
              <w:bottom w:val="nil"/>
              <w:right w:val="nil"/>
            </w:tcBorders>
            <w:shd w:val="clear" w:color="auto" w:fill="auto"/>
            <w:noWrap/>
            <w:vAlign w:val="bottom"/>
            <w:hideMark/>
          </w:tcPr>
          <w:p w14:paraId="26BFFF0C" w14:textId="77777777" w:rsidR="0020202E" w:rsidRPr="006F3EB0" w:rsidRDefault="0020202E" w:rsidP="007C16F6">
            <w:pPr>
              <w:widowControl/>
              <w:jc w:val="center"/>
              <w:rPr>
                <w:rFonts w:ascii="Times New Roman" w:eastAsia="等线" w:hAnsi="Times New Roman" w:cs="Times New Roman"/>
                <w:b/>
                <w:bCs/>
                <w:color w:val="000000"/>
                <w:kern w:val="0"/>
                <w:szCs w:val="21"/>
              </w:rPr>
            </w:pPr>
            <w:r w:rsidRPr="006F3EB0">
              <w:rPr>
                <w:rFonts w:ascii="Times New Roman" w:eastAsia="等线" w:hAnsi="Times New Roman" w:cs="Times New Roman"/>
                <w:b/>
                <w:bCs/>
                <w:color w:val="000000"/>
                <w:kern w:val="0"/>
                <w:szCs w:val="21"/>
              </w:rPr>
              <w:t>8</w:t>
            </w:r>
          </w:p>
        </w:tc>
        <w:tc>
          <w:tcPr>
            <w:tcW w:w="2191" w:type="dxa"/>
            <w:tcBorders>
              <w:top w:val="nil"/>
              <w:left w:val="nil"/>
              <w:bottom w:val="nil"/>
              <w:right w:val="nil"/>
            </w:tcBorders>
            <w:shd w:val="clear" w:color="auto" w:fill="auto"/>
            <w:noWrap/>
            <w:vAlign w:val="bottom"/>
            <w:hideMark/>
          </w:tcPr>
          <w:p w14:paraId="2EA842D5" w14:textId="77777777" w:rsidR="0020202E" w:rsidRPr="006F3EB0" w:rsidRDefault="0020202E" w:rsidP="007C16F6">
            <w:pPr>
              <w:widowControl/>
              <w:jc w:val="center"/>
              <w:rPr>
                <w:rFonts w:ascii="Times New Roman" w:eastAsia="等线" w:hAnsi="Times New Roman" w:cs="Times New Roman"/>
                <w:b/>
                <w:bCs/>
                <w:color w:val="000000"/>
                <w:kern w:val="0"/>
                <w:szCs w:val="21"/>
              </w:rPr>
            </w:pPr>
            <w:r w:rsidRPr="006F3EB0">
              <w:rPr>
                <w:rFonts w:ascii="Times New Roman" w:eastAsia="等线" w:hAnsi="Times New Roman" w:cs="Times New Roman"/>
                <w:b/>
                <w:bCs/>
                <w:color w:val="000000"/>
                <w:kern w:val="0"/>
                <w:szCs w:val="21"/>
              </w:rPr>
              <w:t>0.800</w:t>
            </w:r>
          </w:p>
        </w:tc>
        <w:tc>
          <w:tcPr>
            <w:tcW w:w="2192" w:type="dxa"/>
            <w:tcBorders>
              <w:top w:val="nil"/>
              <w:left w:val="nil"/>
              <w:bottom w:val="nil"/>
              <w:right w:val="nil"/>
            </w:tcBorders>
            <w:shd w:val="clear" w:color="auto" w:fill="auto"/>
            <w:noWrap/>
            <w:vAlign w:val="bottom"/>
            <w:hideMark/>
          </w:tcPr>
          <w:p w14:paraId="0818A632" w14:textId="77777777" w:rsidR="0020202E" w:rsidRPr="006F3EB0" w:rsidRDefault="0020202E" w:rsidP="007C16F6">
            <w:pPr>
              <w:widowControl/>
              <w:jc w:val="center"/>
              <w:rPr>
                <w:rFonts w:ascii="Times New Roman" w:eastAsia="等线" w:hAnsi="Times New Roman" w:cs="Times New Roman"/>
                <w:b/>
                <w:bCs/>
                <w:color w:val="000000"/>
                <w:kern w:val="0"/>
                <w:szCs w:val="21"/>
              </w:rPr>
            </w:pPr>
            <w:r w:rsidRPr="006F3EB0">
              <w:rPr>
                <w:rFonts w:ascii="Times New Roman" w:eastAsia="等线" w:hAnsi="Times New Roman" w:cs="Times New Roman"/>
                <w:b/>
                <w:bCs/>
                <w:color w:val="000000"/>
                <w:kern w:val="0"/>
                <w:szCs w:val="21"/>
              </w:rPr>
              <w:t>0.538</w:t>
            </w:r>
          </w:p>
        </w:tc>
      </w:tr>
      <w:tr w:rsidR="0020202E" w:rsidRPr="004C52D9" w14:paraId="74A0811F" w14:textId="77777777" w:rsidTr="007C16F6">
        <w:trPr>
          <w:trHeight w:val="371"/>
          <w:jc w:val="center"/>
        </w:trPr>
        <w:tc>
          <w:tcPr>
            <w:tcW w:w="2191" w:type="dxa"/>
            <w:tcBorders>
              <w:top w:val="nil"/>
              <w:left w:val="nil"/>
              <w:bottom w:val="nil"/>
              <w:right w:val="nil"/>
            </w:tcBorders>
            <w:shd w:val="clear" w:color="auto" w:fill="auto"/>
            <w:noWrap/>
            <w:vAlign w:val="bottom"/>
            <w:hideMark/>
          </w:tcPr>
          <w:p w14:paraId="5958E05C" w14:textId="77777777" w:rsidR="0020202E" w:rsidRPr="006F3EB0" w:rsidRDefault="0020202E" w:rsidP="007C16F6">
            <w:pPr>
              <w:widowControl/>
              <w:jc w:val="center"/>
              <w:rPr>
                <w:rFonts w:ascii="Times New Roman" w:eastAsia="等线" w:hAnsi="Times New Roman" w:cs="Times New Roman"/>
                <w:color w:val="000000"/>
                <w:kern w:val="0"/>
                <w:szCs w:val="21"/>
              </w:rPr>
            </w:pPr>
            <w:r w:rsidRPr="006F3EB0">
              <w:rPr>
                <w:rFonts w:ascii="Times New Roman" w:eastAsia="等线" w:hAnsi="Times New Roman" w:cs="Times New Roman"/>
                <w:color w:val="000000"/>
                <w:kern w:val="0"/>
                <w:szCs w:val="21"/>
              </w:rPr>
              <w:t>top 20</w:t>
            </w:r>
          </w:p>
        </w:tc>
        <w:tc>
          <w:tcPr>
            <w:tcW w:w="2191" w:type="dxa"/>
            <w:tcBorders>
              <w:top w:val="nil"/>
              <w:left w:val="nil"/>
              <w:bottom w:val="nil"/>
              <w:right w:val="nil"/>
            </w:tcBorders>
            <w:shd w:val="clear" w:color="auto" w:fill="auto"/>
            <w:noWrap/>
            <w:vAlign w:val="bottom"/>
            <w:hideMark/>
          </w:tcPr>
          <w:p w14:paraId="41A413F8" w14:textId="77777777" w:rsidR="0020202E" w:rsidRPr="006F3EB0" w:rsidRDefault="0020202E" w:rsidP="007C16F6">
            <w:pPr>
              <w:widowControl/>
              <w:jc w:val="center"/>
              <w:rPr>
                <w:rFonts w:ascii="Times New Roman" w:eastAsia="等线" w:hAnsi="Times New Roman" w:cs="Times New Roman"/>
                <w:color w:val="000000"/>
                <w:kern w:val="0"/>
                <w:szCs w:val="21"/>
              </w:rPr>
            </w:pPr>
            <w:r w:rsidRPr="006F3EB0">
              <w:rPr>
                <w:rFonts w:ascii="Times New Roman" w:eastAsia="等线" w:hAnsi="Times New Roman" w:cs="Times New Roman"/>
                <w:color w:val="000000"/>
                <w:kern w:val="0"/>
                <w:szCs w:val="21"/>
              </w:rPr>
              <w:t>15</w:t>
            </w:r>
          </w:p>
        </w:tc>
        <w:tc>
          <w:tcPr>
            <w:tcW w:w="2191" w:type="dxa"/>
            <w:tcBorders>
              <w:top w:val="nil"/>
              <w:left w:val="nil"/>
              <w:bottom w:val="nil"/>
              <w:right w:val="nil"/>
            </w:tcBorders>
            <w:shd w:val="clear" w:color="auto" w:fill="auto"/>
            <w:noWrap/>
            <w:vAlign w:val="bottom"/>
            <w:hideMark/>
          </w:tcPr>
          <w:p w14:paraId="4E9EF62C" w14:textId="77777777" w:rsidR="0020202E" w:rsidRPr="006F3EB0" w:rsidRDefault="0020202E" w:rsidP="007C16F6">
            <w:pPr>
              <w:widowControl/>
              <w:jc w:val="center"/>
              <w:rPr>
                <w:rFonts w:ascii="Times New Roman" w:eastAsia="等线" w:hAnsi="Times New Roman" w:cs="Times New Roman"/>
                <w:color w:val="000000"/>
                <w:kern w:val="0"/>
                <w:szCs w:val="21"/>
              </w:rPr>
            </w:pPr>
            <w:r w:rsidRPr="006F3EB0">
              <w:rPr>
                <w:rFonts w:ascii="Times New Roman" w:eastAsia="等线" w:hAnsi="Times New Roman" w:cs="Times New Roman"/>
                <w:color w:val="000000"/>
                <w:kern w:val="0"/>
                <w:szCs w:val="21"/>
              </w:rPr>
              <w:t>0.750</w:t>
            </w:r>
          </w:p>
        </w:tc>
        <w:tc>
          <w:tcPr>
            <w:tcW w:w="2192" w:type="dxa"/>
            <w:tcBorders>
              <w:top w:val="nil"/>
              <w:left w:val="nil"/>
              <w:bottom w:val="nil"/>
              <w:right w:val="nil"/>
            </w:tcBorders>
            <w:shd w:val="clear" w:color="auto" w:fill="auto"/>
            <w:noWrap/>
            <w:vAlign w:val="bottom"/>
            <w:hideMark/>
          </w:tcPr>
          <w:p w14:paraId="4356D119" w14:textId="77777777" w:rsidR="0020202E" w:rsidRPr="006F3EB0" w:rsidRDefault="0020202E" w:rsidP="007C16F6">
            <w:pPr>
              <w:widowControl/>
              <w:jc w:val="center"/>
              <w:rPr>
                <w:rFonts w:ascii="Times New Roman" w:eastAsia="等线" w:hAnsi="Times New Roman" w:cs="Times New Roman"/>
                <w:color w:val="000000"/>
                <w:kern w:val="0"/>
                <w:szCs w:val="21"/>
              </w:rPr>
            </w:pPr>
            <w:r w:rsidRPr="006F3EB0">
              <w:rPr>
                <w:rFonts w:ascii="Times New Roman" w:eastAsia="等线" w:hAnsi="Times New Roman" w:cs="Times New Roman"/>
                <w:color w:val="000000"/>
                <w:kern w:val="0"/>
                <w:szCs w:val="21"/>
              </w:rPr>
              <w:t>0.667</w:t>
            </w:r>
          </w:p>
        </w:tc>
      </w:tr>
      <w:tr w:rsidR="0020202E" w:rsidRPr="004C52D9" w14:paraId="17C126E3" w14:textId="77777777" w:rsidTr="007C16F6">
        <w:trPr>
          <w:trHeight w:val="385"/>
          <w:jc w:val="center"/>
        </w:trPr>
        <w:tc>
          <w:tcPr>
            <w:tcW w:w="2191" w:type="dxa"/>
            <w:tcBorders>
              <w:top w:val="nil"/>
              <w:left w:val="nil"/>
              <w:bottom w:val="single" w:sz="8" w:space="0" w:color="auto"/>
              <w:right w:val="nil"/>
            </w:tcBorders>
            <w:shd w:val="clear" w:color="auto" w:fill="auto"/>
            <w:noWrap/>
            <w:vAlign w:val="bottom"/>
            <w:hideMark/>
          </w:tcPr>
          <w:p w14:paraId="4C8688AF" w14:textId="77777777" w:rsidR="0020202E" w:rsidRPr="006F3EB0" w:rsidRDefault="0020202E" w:rsidP="007C16F6">
            <w:pPr>
              <w:widowControl/>
              <w:jc w:val="center"/>
              <w:rPr>
                <w:rFonts w:ascii="Times New Roman" w:eastAsia="等线" w:hAnsi="Times New Roman" w:cs="Times New Roman"/>
                <w:color w:val="000000"/>
                <w:kern w:val="0"/>
                <w:szCs w:val="21"/>
              </w:rPr>
            </w:pPr>
            <w:r w:rsidRPr="006F3EB0">
              <w:rPr>
                <w:rFonts w:ascii="Times New Roman" w:eastAsia="等线" w:hAnsi="Times New Roman" w:cs="Times New Roman"/>
                <w:color w:val="000000"/>
                <w:kern w:val="0"/>
                <w:szCs w:val="21"/>
              </w:rPr>
              <w:t>top 30</w:t>
            </w:r>
          </w:p>
        </w:tc>
        <w:tc>
          <w:tcPr>
            <w:tcW w:w="2191" w:type="dxa"/>
            <w:tcBorders>
              <w:top w:val="nil"/>
              <w:left w:val="nil"/>
              <w:bottom w:val="single" w:sz="8" w:space="0" w:color="auto"/>
              <w:right w:val="nil"/>
            </w:tcBorders>
            <w:shd w:val="clear" w:color="auto" w:fill="auto"/>
            <w:noWrap/>
            <w:vAlign w:val="bottom"/>
            <w:hideMark/>
          </w:tcPr>
          <w:p w14:paraId="60367651" w14:textId="77777777" w:rsidR="0020202E" w:rsidRPr="006F3EB0" w:rsidRDefault="0020202E" w:rsidP="007C16F6">
            <w:pPr>
              <w:widowControl/>
              <w:jc w:val="center"/>
              <w:rPr>
                <w:rFonts w:ascii="Times New Roman" w:eastAsia="等线" w:hAnsi="Times New Roman" w:cs="Times New Roman"/>
                <w:color w:val="000000"/>
                <w:kern w:val="0"/>
                <w:szCs w:val="21"/>
              </w:rPr>
            </w:pPr>
            <w:r w:rsidRPr="006F3EB0">
              <w:rPr>
                <w:rFonts w:ascii="Times New Roman" w:eastAsia="等线" w:hAnsi="Times New Roman" w:cs="Times New Roman"/>
                <w:color w:val="000000"/>
                <w:kern w:val="0"/>
                <w:szCs w:val="21"/>
              </w:rPr>
              <w:t>17</w:t>
            </w:r>
          </w:p>
        </w:tc>
        <w:tc>
          <w:tcPr>
            <w:tcW w:w="2191" w:type="dxa"/>
            <w:tcBorders>
              <w:top w:val="nil"/>
              <w:left w:val="nil"/>
              <w:bottom w:val="single" w:sz="8" w:space="0" w:color="auto"/>
              <w:right w:val="nil"/>
            </w:tcBorders>
            <w:shd w:val="clear" w:color="auto" w:fill="auto"/>
            <w:noWrap/>
            <w:vAlign w:val="bottom"/>
            <w:hideMark/>
          </w:tcPr>
          <w:p w14:paraId="2465EBFA" w14:textId="77777777" w:rsidR="0020202E" w:rsidRPr="006F3EB0" w:rsidRDefault="0020202E" w:rsidP="007C16F6">
            <w:pPr>
              <w:widowControl/>
              <w:jc w:val="center"/>
              <w:rPr>
                <w:rFonts w:ascii="Times New Roman" w:eastAsia="等线" w:hAnsi="Times New Roman" w:cs="Times New Roman"/>
                <w:color w:val="000000"/>
                <w:kern w:val="0"/>
                <w:szCs w:val="21"/>
              </w:rPr>
            </w:pPr>
            <w:r w:rsidRPr="006F3EB0">
              <w:rPr>
                <w:rFonts w:ascii="Times New Roman" w:eastAsia="等线" w:hAnsi="Times New Roman" w:cs="Times New Roman"/>
                <w:color w:val="000000"/>
                <w:kern w:val="0"/>
                <w:szCs w:val="21"/>
              </w:rPr>
              <w:t>0.567</w:t>
            </w:r>
          </w:p>
        </w:tc>
        <w:tc>
          <w:tcPr>
            <w:tcW w:w="2192" w:type="dxa"/>
            <w:tcBorders>
              <w:top w:val="nil"/>
              <w:left w:val="nil"/>
              <w:bottom w:val="single" w:sz="8" w:space="0" w:color="auto"/>
              <w:right w:val="nil"/>
            </w:tcBorders>
            <w:shd w:val="clear" w:color="auto" w:fill="auto"/>
            <w:noWrap/>
            <w:vAlign w:val="bottom"/>
            <w:hideMark/>
          </w:tcPr>
          <w:p w14:paraId="751A9488" w14:textId="77777777" w:rsidR="0020202E" w:rsidRPr="006F3EB0" w:rsidRDefault="0020202E" w:rsidP="007C16F6">
            <w:pPr>
              <w:widowControl/>
              <w:jc w:val="center"/>
              <w:rPr>
                <w:rFonts w:ascii="Times New Roman" w:eastAsia="等线" w:hAnsi="Times New Roman" w:cs="Times New Roman"/>
                <w:color w:val="000000"/>
                <w:kern w:val="0"/>
                <w:szCs w:val="21"/>
              </w:rPr>
            </w:pPr>
            <w:r w:rsidRPr="006F3EB0">
              <w:rPr>
                <w:rFonts w:ascii="Times New Roman" w:eastAsia="等线" w:hAnsi="Times New Roman" w:cs="Times New Roman"/>
                <w:color w:val="000000"/>
                <w:kern w:val="0"/>
                <w:szCs w:val="21"/>
              </w:rPr>
              <w:t>0.733</w:t>
            </w:r>
          </w:p>
        </w:tc>
      </w:tr>
    </w:tbl>
    <w:p w14:paraId="67FD8125" w14:textId="7B721D3F" w:rsidR="0020202E" w:rsidRDefault="00FB517E" w:rsidP="0020202E">
      <w:pPr>
        <w:pStyle w:val="af0"/>
        <w:spacing w:line="276" w:lineRule="auto"/>
        <w:ind w:leftChars="86" w:left="181" w:firstLineChars="0" w:firstLine="0"/>
        <w:rPr>
          <w:rFonts w:ascii="Times New Roman" w:eastAsia="宋体" w:hAnsi="Times New Roman" w:cs="Times New Roman"/>
          <w:sz w:val="18"/>
          <w:szCs w:val="18"/>
        </w:rPr>
      </w:pPr>
      <w:proofErr w:type="spellStart"/>
      <w:r>
        <w:rPr>
          <w:rFonts w:ascii="Times New Roman" w:eastAsia="宋体" w:hAnsi="Times New Roman" w:cs="Times New Roman"/>
          <w:vertAlign w:val="superscript"/>
        </w:rPr>
        <w:t>a</w:t>
      </w:r>
      <w:r w:rsidR="0020202E" w:rsidRPr="005C60FF">
        <w:rPr>
          <w:rFonts w:ascii="Times New Roman" w:eastAsia="宋体" w:hAnsi="Times New Roman" w:cs="Times New Roman"/>
          <w:sz w:val="18"/>
          <w:szCs w:val="18"/>
        </w:rPr>
        <w:t>Best</w:t>
      </w:r>
      <w:proofErr w:type="spellEnd"/>
      <w:r w:rsidR="0020202E" w:rsidRPr="005C60FF">
        <w:rPr>
          <w:rFonts w:ascii="Times New Roman" w:eastAsia="宋体" w:hAnsi="Times New Roman" w:cs="Times New Roman"/>
          <w:sz w:val="18"/>
          <w:szCs w:val="18"/>
        </w:rPr>
        <w:t xml:space="preserve"> results are marked as bold.</w:t>
      </w:r>
    </w:p>
    <w:p w14:paraId="688737A2" w14:textId="53FBC85D" w:rsidR="00FB517E" w:rsidRPr="00FB517E" w:rsidRDefault="00FB517E" w:rsidP="00FB517E">
      <w:pPr>
        <w:pStyle w:val="af0"/>
        <w:spacing w:line="276" w:lineRule="auto"/>
        <w:ind w:leftChars="86" w:left="181" w:firstLineChars="0" w:firstLine="0"/>
        <w:rPr>
          <w:rFonts w:ascii="Times New Roman" w:eastAsia="宋体" w:hAnsi="Times New Roman" w:cs="Times New Roman"/>
        </w:rPr>
      </w:pPr>
      <w:r w:rsidRPr="00AD1487">
        <w:rPr>
          <w:rFonts w:ascii="Times New Roman" w:eastAsia="宋体" w:hAnsi="Times New Roman" w:cs="Times New Roman"/>
          <w:sz w:val="18"/>
          <w:szCs w:val="18"/>
          <w:vertAlign w:val="superscript"/>
        </w:rPr>
        <w:t>b</w:t>
      </w:r>
      <w:r>
        <w:rPr>
          <w:rFonts w:ascii="Times New Roman" w:eastAsia="宋体" w:hAnsi="Times New Roman" w:cs="Times New Roman"/>
          <w:sz w:val="18"/>
          <w:szCs w:val="18"/>
        </w:rPr>
        <w:t xml:space="preserve"> </w:t>
      </w:r>
      <w:r w:rsidRPr="00D061BD">
        <w:rPr>
          <w:rFonts w:ascii="Times New Roman" w:eastAsia="宋体" w:hAnsi="Times New Roman" w:cs="Times New Roman"/>
          <w:sz w:val="18"/>
          <w:szCs w:val="18"/>
        </w:rPr>
        <w:t xml:space="preserve">RMSE is calculated on data </w:t>
      </w:r>
      <w:r>
        <w:rPr>
          <w:rFonts w:ascii="Times New Roman" w:eastAsia="宋体" w:hAnsi="Times New Roman" w:cs="Times New Roman"/>
          <w:sz w:val="18"/>
          <w:szCs w:val="18"/>
        </w:rPr>
        <w:t>that has</w:t>
      </w:r>
      <w:r w:rsidRPr="00D061BD">
        <w:rPr>
          <w:rFonts w:ascii="Times New Roman" w:eastAsia="宋体" w:hAnsi="Times New Roman" w:cs="Times New Roman"/>
          <w:sz w:val="18"/>
          <w:szCs w:val="18"/>
        </w:rPr>
        <w:t xml:space="preserve"> pIC</w:t>
      </w:r>
      <w:r w:rsidRPr="00D061BD">
        <w:rPr>
          <w:rFonts w:ascii="Times New Roman" w:eastAsia="宋体" w:hAnsi="Times New Roman" w:cs="Times New Roman"/>
          <w:sz w:val="18"/>
          <w:szCs w:val="18"/>
          <w:vertAlign w:val="subscript"/>
        </w:rPr>
        <w:t>50</w:t>
      </w:r>
      <w:r w:rsidRPr="00D061BD">
        <w:rPr>
          <w:rFonts w:ascii="Times New Roman" w:eastAsia="宋体" w:hAnsi="Times New Roman" w:cs="Times New Roman"/>
          <w:sz w:val="18"/>
          <w:szCs w:val="18"/>
        </w:rPr>
        <w:t xml:space="preserve"> values</w:t>
      </w:r>
      <w:r>
        <w:rPr>
          <w:rFonts w:ascii="Times New Roman" w:eastAsia="宋体" w:hAnsi="Times New Roman" w:cs="Times New Roman"/>
          <w:sz w:val="18"/>
          <w:szCs w:val="18"/>
        </w:rPr>
        <w:t>.</w:t>
      </w:r>
    </w:p>
    <w:p w14:paraId="03504881" w14:textId="3BE9B695" w:rsidR="0020202E" w:rsidRDefault="0020202E" w:rsidP="0020202E">
      <w:pPr>
        <w:pStyle w:val="af0"/>
        <w:spacing w:beforeLines="50" w:before="156" w:afterLines="50" w:after="156" w:line="276" w:lineRule="auto"/>
        <w:ind w:firstLineChars="100" w:firstLine="240"/>
        <w:rPr>
          <w:rFonts w:ascii="Times New Roman" w:eastAsia="宋体" w:hAnsi="Times New Roman" w:cs="Times New Roman"/>
          <w:sz w:val="24"/>
          <w:szCs w:val="24"/>
        </w:rPr>
      </w:pPr>
      <w:r w:rsidRPr="004D1F91">
        <w:rPr>
          <w:rFonts w:ascii="Times New Roman" w:eastAsia="宋体" w:hAnsi="Times New Roman" w:cs="Times New Roman"/>
          <w:sz w:val="24"/>
          <w:szCs w:val="24"/>
        </w:rPr>
        <w:t xml:space="preserve">Based on Strategy 3, we identified 15 new CYP3A4 inhibitors from the top 20 compounds. Notably, </w:t>
      </w:r>
      <w:r w:rsidRPr="006F48C3">
        <w:rPr>
          <w:rFonts w:ascii="Times New Roman" w:eastAsia="宋体" w:hAnsi="Times New Roman" w:cs="Times New Roman"/>
          <w:sz w:val="24"/>
          <w:szCs w:val="24"/>
        </w:rPr>
        <w:t>4'-methoxy-2'-hydroxy quinoxaline-chalcone, 2</w:t>
      </w:r>
      <w:proofErr w:type="gramStart"/>
      <w:r w:rsidRPr="006F48C3">
        <w:rPr>
          <w:rFonts w:ascii="Times New Roman" w:eastAsia="宋体" w:hAnsi="Times New Roman" w:cs="Times New Roman"/>
          <w:sz w:val="24"/>
          <w:szCs w:val="24"/>
        </w:rPr>
        <w:t>’</w:t>
      </w:r>
      <w:proofErr w:type="gramEnd"/>
      <w:r w:rsidRPr="006F48C3">
        <w:rPr>
          <w:rFonts w:ascii="Times New Roman" w:eastAsia="宋体" w:hAnsi="Times New Roman" w:cs="Times New Roman"/>
          <w:sz w:val="24"/>
          <w:szCs w:val="24"/>
        </w:rPr>
        <w:t>,4</w:t>
      </w:r>
      <w:proofErr w:type="gramStart"/>
      <w:r w:rsidRPr="006F48C3">
        <w:rPr>
          <w:rFonts w:ascii="Times New Roman" w:eastAsia="宋体" w:hAnsi="Times New Roman" w:cs="Times New Roman"/>
          <w:sz w:val="24"/>
          <w:szCs w:val="24"/>
        </w:rPr>
        <w:t>’</w:t>
      </w:r>
      <w:proofErr w:type="gramEnd"/>
      <w:r w:rsidRPr="006F48C3">
        <w:rPr>
          <w:rFonts w:ascii="Times New Roman" w:eastAsia="宋体" w:hAnsi="Times New Roman" w:cs="Times New Roman"/>
          <w:sz w:val="24"/>
          <w:szCs w:val="24"/>
        </w:rPr>
        <w:t xml:space="preserve">-dihydroxychalcone, raloxifene </w:t>
      </w:r>
      <w:r w:rsidRPr="004D1F91">
        <w:rPr>
          <w:rFonts w:ascii="Times New Roman" w:eastAsia="宋体" w:hAnsi="Times New Roman" w:cs="Times New Roman"/>
          <w:sz w:val="24"/>
          <w:szCs w:val="24"/>
        </w:rPr>
        <w:t>exhibited activity</w:t>
      </w:r>
      <w:r w:rsidR="00BF5556">
        <w:rPr>
          <w:rFonts w:ascii="Times New Roman" w:eastAsia="宋体" w:hAnsi="Times New Roman" w:cs="Times New Roman"/>
          <w:sz w:val="24"/>
          <w:szCs w:val="24"/>
        </w:rPr>
        <w:t xml:space="preserve"> </w:t>
      </w:r>
      <w:r w:rsidR="00BF5556">
        <w:rPr>
          <w:rFonts w:ascii="Times New Roman" w:eastAsia="宋体" w:hAnsi="Times New Roman" w:cs="Times New Roman" w:hint="eastAsia"/>
          <w:sz w:val="24"/>
          <w:szCs w:val="24"/>
        </w:rPr>
        <w:t>less</w:t>
      </w:r>
      <w:r w:rsidR="00BF5556">
        <w:rPr>
          <w:rFonts w:ascii="Times New Roman" w:eastAsia="宋体" w:hAnsi="Times New Roman" w:cs="Times New Roman"/>
          <w:sz w:val="24"/>
          <w:szCs w:val="24"/>
        </w:rPr>
        <w:t xml:space="preserve"> than 1 </w:t>
      </w:r>
      <w:r w:rsidR="00BF5556" w:rsidRPr="00BF5556">
        <w:rPr>
          <w:rFonts w:ascii="Times New Roman" w:eastAsia="宋体" w:hAnsi="Times New Roman" w:cs="Times New Roman"/>
          <w:sz w:val="24"/>
          <w:szCs w:val="24"/>
        </w:rPr>
        <w:t>μ</w:t>
      </w:r>
      <w:r w:rsidR="00BF5556">
        <w:rPr>
          <w:rFonts w:ascii="Times New Roman" w:eastAsia="宋体" w:hAnsi="Times New Roman" w:cs="Times New Roman" w:hint="eastAsia"/>
          <w:sz w:val="24"/>
          <w:szCs w:val="24"/>
        </w:rPr>
        <w:t>M</w:t>
      </w:r>
      <w:r>
        <w:rPr>
          <w:rFonts w:ascii="Times New Roman" w:eastAsia="宋体" w:hAnsi="Times New Roman" w:cs="Times New Roman"/>
          <w:sz w:val="24"/>
          <w:szCs w:val="24"/>
        </w:rPr>
        <w:t xml:space="preserve">, </w:t>
      </w:r>
      <w:r w:rsidRPr="006F48C3">
        <w:rPr>
          <w:rFonts w:ascii="Times New Roman" w:eastAsia="宋体" w:hAnsi="Times New Roman" w:cs="Times New Roman"/>
          <w:sz w:val="24"/>
          <w:szCs w:val="24"/>
        </w:rPr>
        <w:t>with IC</w:t>
      </w:r>
      <w:r w:rsidRPr="006F48C3">
        <w:rPr>
          <w:rFonts w:ascii="Times New Roman" w:eastAsia="宋体" w:hAnsi="Times New Roman" w:cs="Times New Roman"/>
          <w:sz w:val="24"/>
          <w:szCs w:val="24"/>
          <w:vertAlign w:val="subscript"/>
        </w:rPr>
        <w:t xml:space="preserve">50 </w:t>
      </w:r>
      <w:r w:rsidRPr="006F48C3">
        <w:rPr>
          <w:rFonts w:ascii="Times New Roman" w:eastAsia="宋体" w:hAnsi="Times New Roman" w:cs="Times New Roman"/>
          <w:sz w:val="24"/>
          <w:szCs w:val="24"/>
        </w:rPr>
        <w:t>values of 0.4</w:t>
      </w:r>
      <w:r>
        <w:rPr>
          <w:rFonts w:ascii="Times New Roman" w:eastAsia="宋体" w:hAnsi="Times New Roman" w:cs="Times New Roman"/>
          <w:sz w:val="24"/>
          <w:szCs w:val="24"/>
        </w:rPr>
        <w:t>28</w:t>
      </w:r>
      <w:r w:rsidRPr="006F48C3">
        <w:rPr>
          <w:rFonts w:ascii="Times New Roman" w:eastAsia="宋体" w:hAnsi="Times New Roman" w:cs="Times New Roman"/>
          <w:sz w:val="24"/>
          <w:szCs w:val="24"/>
        </w:rPr>
        <w:t xml:space="preserve"> </w:t>
      </w:r>
      <w:proofErr w:type="spellStart"/>
      <w:r w:rsidRPr="006F48C3">
        <w:rPr>
          <w:rFonts w:ascii="Times New Roman" w:eastAsia="宋体" w:hAnsi="Times New Roman" w:cs="Times New Roman"/>
          <w:sz w:val="24"/>
          <w:szCs w:val="24"/>
        </w:rPr>
        <w:t>μM</w:t>
      </w:r>
      <w:proofErr w:type="spellEnd"/>
      <w:r w:rsidRPr="006F48C3">
        <w:rPr>
          <w:rFonts w:ascii="Times New Roman" w:eastAsia="宋体" w:hAnsi="Times New Roman" w:cs="Times New Roman"/>
          <w:sz w:val="24"/>
          <w:szCs w:val="24"/>
        </w:rPr>
        <w:t xml:space="preserve">, 0.497 </w:t>
      </w:r>
      <w:proofErr w:type="spellStart"/>
      <w:r w:rsidRPr="006F48C3">
        <w:rPr>
          <w:rFonts w:ascii="Times New Roman" w:eastAsia="宋体" w:hAnsi="Times New Roman" w:cs="Times New Roman"/>
          <w:sz w:val="24"/>
          <w:szCs w:val="24"/>
        </w:rPr>
        <w:t>μM</w:t>
      </w:r>
      <w:proofErr w:type="spellEnd"/>
      <w:r w:rsidRPr="006F48C3">
        <w:rPr>
          <w:rFonts w:ascii="Times New Roman" w:eastAsia="宋体" w:hAnsi="Times New Roman" w:cs="Times New Roman"/>
          <w:sz w:val="24"/>
          <w:szCs w:val="24"/>
        </w:rPr>
        <w:t xml:space="preserve">, and 0.918 </w:t>
      </w:r>
      <w:proofErr w:type="spellStart"/>
      <w:r w:rsidRPr="006F48C3">
        <w:rPr>
          <w:rFonts w:ascii="Times New Roman" w:eastAsia="宋体" w:hAnsi="Times New Roman" w:cs="Times New Roman"/>
          <w:sz w:val="24"/>
          <w:szCs w:val="24"/>
        </w:rPr>
        <w:t>μM</w:t>
      </w:r>
      <w:proofErr w:type="spellEnd"/>
      <w:r w:rsidRPr="006F48C3">
        <w:rPr>
          <w:rFonts w:ascii="Times New Roman" w:eastAsia="宋体" w:hAnsi="Times New Roman" w:cs="Times New Roman"/>
          <w:sz w:val="24"/>
          <w:szCs w:val="24"/>
        </w:rPr>
        <w:t>, respectively.</w:t>
      </w:r>
    </w:p>
    <w:p w14:paraId="39FA2B18" w14:textId="77777777" w:rsidR="0020202E" w:rsidRPr="00B73D93" w:rsidRDefault="0020202E" w:rsidP="0020202E">
      <w:pPr>
        <w:pStyle w:val="af0"/>
        <w:spacing w:beforeLines="50" w:before="156" w:afterLines="50" w:after="156" w:line="276" w:lineRule="auto"/>
        <w:ind w:firstLineChars="100" w:firstLine="240"/>
        <w:rPr>
          <w:rFonts w:ascii="Times New Roman" w:hAnsi="Times New Roman" w:cs="Times New Roman"/>
        </w:rPr>
      </w:pPr>
      <w:r w:rsidRPr="00B73D93">
        <w:rPr>
          <w:rFonts w:ascii="Times New Roman" w:eastAsia="宋体" w:hAnsi="Times New Roman" w:cs="Times New Roman"/>
          <w:sz w:val="24"/>
          <w:szCs w:val="24"/>
        </w:rPr>
        <w:t xml:space="preserve">Molecular docking was utilized to reveal the binding modes of these compounds </w:t>
      </w:r>
      <w:r>
        <w:rPr>
          <w:rFonts w:ascii="Times New Roman" w:eastAsia="宋体" w:hAnsi="Times New Roman" w:cs="Times New Roman"/>
          <w:sz w:val="24"/>
          <w:szCs w:val="24"/>
        </w:rPr>
        <w:t>toward</w:t>
      </w:r>
      <w:r w:rsidRPr="00B73D93">
        <w:rPr>
          <w:rFonts w:ascii="Times New Roman" w:eastAsia="宋体" w:hAnsi="Times New Roman" w:cs="Times New Roman"/>
          <w:sz w:val="24"/>
          <w:szCs w:val="24"/>
        </w:rPr>
        <w:t xml:space="preserve"> CYP3A4.</w:t>
      </w:r>
      <w:r>
        <w:rPr>
          <w:rFonts w:ascii="Times New Roman" w:eastAsia="宋体" w:hAnsi="Times New Roman" w:cs="Times New Roman"/>
          <w:sz w:val="24"/>
          <w:szCs w:val="24"/>
        </w:rPr>
        <w:t xml:space="preserve"> </w:t>
      </w:r>
      <w:r w:rsidRPr="00B73D93">
        <w:rPr>
          <w:rFonts w:ascii="Times New Roman" w:eastAsia="宋体" w:hAnsi="Times New Roman" w:cs="Times New Roman"/>
          <w:sz w:val="24"/>
          <w:szCs w:val="24"/>
        </w:rPr>
        <w:t>The docking scores for 4'-methoxy-2'-hydroxy quinoxaline-chalcone, 2’,4’-dihydroxychalcone, and raloxifene were -8.369 kcal/mol, -7.715 kcal/mol, and -9.608 kcal/mol, respectively, indicating strong interactions with CYP3A4.</w:t>
      </w:r>
      <w:r>
        <w:rPr>
          <w:rFonts w:ascii="Times New Roman" w:eastAsia="宋体" w:hAnsi="Times New Roman" w:cs="Times New Roman"/>
          <w:sz w:val="24"/>
          <w:szCs w:val="24"/>
        </w:rPr>
        <w:t xml:space="preserve"> </w:t>
      </w:r>
      <w:r w:rsidRPr="00B73D93">
        <w:rPr>
          <w:rFonts w:ascii="Times New Roman" w:eastAsia="宋体" w:hAnsi="Times New Roman" w:cs="Times New Roman"/>
          <w:sz w:val="24"/>
          <w:szCs w:val="24"/>
        </w:rPr>
        <w:t>We observed that all three compounds contain benzene or heterocyclic rings, which can form π-π interactions with the heme group</w:t>
      </w:r>
      <w:r>
        <w:rPr>
          <w:rFonts w:ascii="Times New Roman" w:eastAsia="宋体" w:hAnsi="Times New Roman" w:cs="Times New Roman"/>
          <w:sz w:val="24"/>
          <w:szCs w:val="24"/>
        </w:rPr>
        <w:t xml:space="preserve"> in </w:t>
      </w:r>
      <w:r w:rsidRPr="00B73D93">
        <w:rPr>
          <w:rFonts w:ascii="Times New Roman" w:eastAsia="宋体" w:hAnsi="Times New Roman" w:cs="Times New Roman"/>
          <w:sz w:val="24"/>
          <w:szCs w:val="24"/>
        </w:rPr>
        <w:t>active cavity</w:t>
      </w:r>
      <w:r>
        <w:rPr>
          <w:rFonts w:ascii="Times New Roman" w:eastAsia="宋体" w:hAnsi="Times New Roman" w:cs="Times New Roman"/>
          <w:sz w:val="24"/>
          <w:szCs w:val="24"/>
        </w:rPr>
        <w:t xml:space="preserve"> of CYP3A4</w:t>
      </w:r>
      <w:r w:rsidRPr="00B73D93">
        <w:rPr>
          <w:rFonts w:ascii="Times New Roman" w:eastAsia="宋体" w:hAnsi="Times New Roman" w:cs="Times New Roman"/>
          <w:sz w:val="24"/>
          <w:szCs w:val="24"/>
        </w:rPr>
        <w:t>, suggesting that the aromatic rings play a key role in CYP3A4 inhibition. Additionally, Glu374 was found to form hydrogen bonds with the hydroxyl group of 2’,4’-dihydroxychalcone and form weak hydrogen bonds with the other two compounds, indicating that hydrogen bonding also contributes to the potent inhibition</w:t>
      </w:r>
      <w:r>
        <w:rPr>
          <w:rFonts w:ascii="Times New Roman" w:eastAsia="宋体" w:hAnsi="Times New Roman" w:cs="Times New Roman"/>
          <w:sz w:val="24"/>
          <w:szCs w:val="24"/>
        </w:rPr>
        <w:t xml:space="preserve"> </w:t>
      </w:r>
      <w:r w:rsidRPr="009379E0">
        <w:rPr>
          <w:rFonts w:ascii="Times New Roman" w:eastAsia="宋体" w:hAnsi="Times New Roman" w:cs="Times New Roman"/>
          <w:sz w:val="24"/>
          <w:szCs w:val="24"/>
        </w:rPr>
        <w:t>(Figure S</w:t>
      </w:r>
      <w:r>
        <w:rPr>
          <w:rFonts w:ascii="Times New Roman" w:eastAsia="宋体" w:hAnsi="Times New Roman" w:cs="Times New Roman"/>
          <w:sz w:val="24"/>
          <w:szCs w:val="24"/>
        </w:rPr>
        <w:t>4</w:t>
      </w:r>
      <w:r w:rsidRPr="009379E0">
        <w:rPr>
          <w:rFonts w:ascii="Times New Roman" w:eastAsia="宋体" w:hAnsi="Times New Roman" w:cs="Times New Roman"/>
          <w:sz w:val="24"/>
          <w:szCs w:val="24"/>
        </w:rPr>
        <w:t>)</w:t>
      </w:r>
      <w:r w:rsidRPr="00B73D93">
        <w:rPr>
          <w:rFonts w:ascii="Times New Roman" w:eastAsia="宋体" w:hAnsi="Times New Roman" w:cs="Times New Roman"/>
          <w:sz w:val="24"/>
          <w:szCs w:val="24"/>
        </w:rPr>
        <w:t>. These findings align with the preferred physicochemical properties of potent inhibitors.</w:t>
      </w:r>
    </w:p>
    <w:p w14:paraId="4D541455" w14:textId="0441CCBE" w:rsidR="0020202E" w:rsidRPr="004C52D9" w:rsidRDefault="00F52EE7" w:rsidP="00F52EE7">
      <w:pPr>
        <w:pStyle w:val="af0"/>
        <w:spacing w:line="276" w:lineRule="auto"/>
        <w:ind w:leftChars="86" w:left="181" w:firstLineChars="0" w:firstLine="0"/>
        <w:jc w:val="center"/>
        <w:rPr>
          <w:rFonts w:ascii="Times New Roman" w:hAnsi="Times New Roman" w:cs="Times New Roman"/>
          <w:b/>
          <w:bCs/>
          <w:color w:val="AEAAAA" w:themeColor="background2" w:themeShade="BF"/>
          <w:sz w:val="24"/>
          <w:szCs w:val="24"/>
        </w:rPr>
      </w:pPr>
      <w:r>
        <w:rPr>
          <w:rFonts w:ascii="Times New Roman" w:hAnsi="Times New Roman" w:cs="Times New Roman"/>
          <w:b/>
          <w:bCs/>
          <w:noProof/>
          <w:color w:val="AEAAAA" w:themeColor="background2" w:themeShade="BF"/>
          <w:sz w:val="24"/>
          <w:szCs w:val="24"/>
        </w:rPr>
        <w:lastRenderedPageBreak/>
        <w:drawing>
          <wp:inline distT="0" distB="0" distL="0" distR="0" wp14:anchorId="217968B5" wp14:editId="72A1303C">
            <wp:extent cx="5154992" cy="4101884"/>
            <wp:effectExtent l="0" t="0" r="7620" b="0"/>
            <wp:docPr id="288995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0132" cy="4113931"/>
                    </a:xfrm>
                    <a:prstGeom prst="rect">
                      <a:avLst/>
                    </a:prstGeom>
                    <a:noFill/>
                  </pic:spPr>
                </pic:pic>
              </a:graphicData>
            </a:graphic>
          </wp:inline>
        </w:drawing>
      </w:r>
    </w:p>
    <w:p w14:paraId="2D9CDED7" w14:textId="77777777" w:rsidR="0020202E" w:rsidRPr="00F03D5F" w:rsidRDefault="0020202E" w:rsidP="0020202E">
      <w:pPr>
        <w:pStyle w:val="af0"/>
        <w:spacing w:line="276" w:lineRule="auto"/>
        <w:ind w:leftChars="86" w:left="181" w:firstLineChars="0" w:firstLine="0"/>
        <w:rPr>
          <w:rFonts w:ascii="Times New Roman" w:hAnsi="Times New Roman" w:cs="Times New Roman"/>
          <w:szCs w:val="21"/>
        </w:rPr>
      </w:pPr>
      <w:r w:rsidRPr="00F03D5F">
        <w:rPr>
          <w:rFonts w:ascii="Times New Roman" w:hAnsi="Times New Roman" w:cs="Times New Roman"/>
          <w:szCs w:val="21"/>
        </w:rPr>
        <w:t xml:space="preserve">Figure 7. Experimental </w:t>
      </w:r>
      <w:r w:rsidRPr="00F03D5F">
        <w:rPr>
          <w:rFonts w:ascii="Times New Roman" w:eastAsia="宋体" w:hAnsi="Times New Roman" w:cs="Times New Roman"/>
          <w:szCs w:val="21"/>
        </w:rPr>
        <w:t>IC</w:t>
      </w:r>
      <w:r w:rsidRPr="00F03D5F">
        <w:rPr>
          <w:rFonts w:ascii="Times New Roman" w:eastAsia="宋体" w:hAnsi="Times New Roman" w:cs="Times New Roman"/>
          <w:szCs w:val="21"/>
          <w:vertAlign w:val="subscript"/>
        </w:rPr>
        <w:t xml:space="preserve">50 </w:t>
      </w:r>
      <w:r w:rsidRPr="00F03D5F">
        <w:rPr>
          <w:rFonts w:ascii="Times New Roman" w:hAnsi="Times New Roman" w:cs="Times New Roman"/>
          <w:szCs w:val="21"/>
        </w:rPr>
        <w:t xml:space="preserve">and interaction analysis of three potent inhibitors: (A) 4'-methoxy-2'-hydroxy quinoxaline-chalcone, (B) 2’,4’-dihydroxychalcone, and (C) raloxifene. (Left) </w:t>
      </w:r>
      <w:r w:rsidRPr="00F03D5F">
        <w:rPr>
          <w:rFonts w:ascii="Times New Roman" w:eastAsia="宋体" w:hAnsi="Times New Roman" w:cs="Times New Roman"/>
          <w:szCs w:val="21"/>
        </w:rPr>
        <w:t>IC</w:t>
      </w:r>
      <w:r w:rsidRPr="00F03D5F">
        <w:rPr>
          <w:rFonts w:ascii="Times New Roman" w:eastAsia="宋体" w:hAnsi="Times New Roman" w:cs="Times New Roman"/>
          <w:szCs w:val="21"/>
          <w:vertAlign w:val="subscript"/>
        </w:rPr>
        <w:t xml:space="preserve">50 </w:t>
      </w:r>
      <w:r w:rsidRPr="00F03D5F">
        <w:rPr>
          <w:rFonts w:ascii="Times New Roman" w:eastAsia="宋体" w:hAnsi="Times New Roman" w:cs="Times New Roman"/>
          <w:szCs w:val="21"/>
        </w:rPr>
        <w:t>curves. (Right) The stereo and detailed interactions.</w:t>
      </w:r>
    </w:p>
    <w:p w14:paraId="761DAF66" w14:textId="77777777" w:rsidR="0020202E" w:rsidRPr="004C52D9" w:rsidRDefault="0020202E" w:rsidP="0020202E">
      <w:pPr>
        <w:pStyle w:val="1"/>
        <w:spacing w:beforeLines="50" w:before="156" w:afterLines="50" w:after="156" w:line="276" w:lineRule="auto"/>
        <w:rPr>
          <w:rFonts w:ascii="Times New Roman" w:hAnsi="Times New Roman" w:cs="Times New Roman"/>
          <w:sz w:val="36"/>
          <w:szCs w:val="36"/>
        </w:rPr>
      </w:pPr>
      <w:r w:rsidRPr="004C52D9">
        <w:rPr>
          <w:rFonts w:ascii="Times New Roman" w:hAnsi="Times New Roman" w:cs="Times New Roman"/>
          <w:sz w:val="36"/>
          <w:szCs w:val="36"/>
        </w:rPr>
        <w:t>4. CONCLUSIONS</w:t>
      </w:r>
    </w:p>
    <w:p w14:paraId="6BDEDF54" w14:textId="77777777" w:rsidR="0020202E" w:rsidRPr="004C52D9" w:rsidRDefault="0020202E" w:rsidP="0020202E">
      <w:pPr>
        <w:pStyle w:val="af0"/>
        <w:spacing w:beforeLines="50" w:before="156" w:afterLines="50" w:after="156" w:line="276" w:lineRule="auto"/>
        <w:ind w:firstLineChars="100" w:firstLine="240"/>
        <w:rPr>
          <w:rFonts w:ascii="Times New Roman" w:hAnsi="Times New Roman" w:cs="Times New Roman"/>
          <w:sz w:val="24"/>
          <w:szCs w:val="24"/>
        </w:rPr>
      </w:pPr>
      <w:r w:rsidRPr="004C52D9">
        <w:rPr>
          <w:rFonts w:ascii="Times New Roman" w:hAnsi="Times New Roman" w:cs="Times New Roman"/>
          <w:sz w:val="24"/>
          <w:szCs w:val="24"/>
        </w:rPr>
        <w:t xml:space="preserve">In this paper, we </w:t>
      </w:r>
      <w:r>
        <w:rPr>
          <w:rFonts w:ascii="Times New Roman" w:hAnsi="Times New Roman" w:cs="Times New Roman"/>
          <w:sz w:val="24"/>
          <w:szCs w:val="24"/>
        </w:rPr>
        <w:t>present</w:t>
      </w:r>
      <w:r w:rsidRPr="004C52D9">
        <w:rPr>
          <w:rFonts w:ascii="Times New Roman" w:hAnsi="Times New Roman" w:cs="Times New Roman"/>
          <w:sz w:val="24"/>
          <w:szCs w:val="24"/>
        </w:rPr>
        <w:t xml:space="preserve"> a robust, reliable, and efficient regression model for predicting CYP3A4 inhibition intensity</w:t>
      </w:r>
      <w:r>
        <w:rPr>
          <w:rFonts w:ascii="Times New Roman" w:hAnsi="Times New Roman" w:cs="Times New Roman"/>
          <w:sz w:val="24"/>
          <w:szCs w:val="24"/>
        </w:rPr>
        <w:t xml:space="preserve">. </w:t>
      </w:r>
      <w:r w:rsidRPr="00F93EFA">
        <w:rPr>
          <w:rFonts w:ascii="Times New Roman" w:hAnsi="Times New Roman" w:cs="Times New Roman"/>
          <w:sz w:val="24"/>
          <w:szCs w:val="24"/>
        </w:rPr>
        <w:t>The model's performance is enhanced by</w:t>
      </w:r>
      <w:r>
        <w:rPr>
          <w:rFonts w:ascii="Times New Roman" w:hAnsi="Times New Roman" w:cs="Times New Roman"/>
          <w:sz w:val="24"/>
          <w:szCs w:val="24"/>
        </w:rPr>
        <w:t xml:space="preserve"> </w:t>
      </w:r>
      <w:r w:rsidRPr="00F93EFA">
        <w:rPr>
          <w:rFonts w:ascii="Times New Roman" w:hAnsi="Times New Roman" w:cs="Times New Roman"/>
          <w:sz w:val="24"/>
          <w:szCs w:val="24"/>
        </w:rPr>
        <w:t xml:space="preserve">the utilization of a larger chemical space, the combination of diverse molecular fingerprints, </w:t>
      </w:r>
      <w:r>
        <w:rPr>
          <w:rFonts w:ascii="Times New Roman" w:hAnsi="Times New Roman" w:cs="Times New Roman"/>
          <w:sz w:val="24"/>
          <w:szCs w:val="24"/>
        </w:rPr>
        <w:t xml:space="preserve">the </w:t>
      </w:r>
      <w:r w:rsidRPr="00F93EFA">
        <w:rPr>
          <w:rFonts w:ascii="Times New Roman" w:hAnsi="Times New Roman" w:cs="Times New Roman"/>
          <w:sz w:val="24"/>
          <w:szCs w:val="24"/>
        </w:rPr>
        <w:t>integration of classification model results, and the incorporation of uncertainty estimates.</w:t>
      </w:r>
      <w:r>
        <w:rPr>
          <w:rFonts w:ascii="Times New Roman" w:hAnsi="Times New Roman" w:cs="Times New Roman"/>
          <w:sz w:val="24"/>
          <w:szCs w:val="24"/>
        </w:rPr>
        <w:t xml:space="preserve"> </w:t>
      </w:r>
      <w:r w:rsidRPr="00B12023">
        <w:rPr>
          <w:rFonts w:ascii="Times New Roman" w:hAnsi="Times New Roman" w:cs="Times New Roman"/>
          <w:sz w:val="24"/>
          <w:szCs w:val="24"/>
        </w:rPr>
        <w:t xml:space="preserve">We emphasize the </w:t>
      </w:r>
      <w:r>
        <w:rPr>
          <w:rFonts w:ascii="Times New Roman" w:hAnsi="Times New Roman" w:cs="Times New Roman"/>
          <w:sz w:val="24"/>
          <w:szCs w:val="24"/>
        </w:rPr>
        <w:t>importance</w:t>
      </w:r>
      <w:r w:rsidRPr="00B12023">
        <w:rPr>
          <w:rFonts w:ascii="Times New Roman" w:hAnsi="Times New Roman" w:cs="Times New Roman"/>
          <w:sz w:val="24"/>
          <w:szCs w:val="24"/>
        </w:rPr>
        <w:t xml:space="preserve"> of evidential uncertainty estimation, which helps calibrate prediction results and boosts confidence in the accuracy of predictions.</w:t>
      </w:r>
      <w:r>
        <w:rPr>
          <w:rFonts w:ascii="Times New Roman" w:hAnsi="Times New Roman" w:cs="Times New Roman"/>
          <w:sz w:val="24"/>
          <w:szCs w:val="24"/>
        </w:rPr>
        <w:t xml:space="preserve"> </w:t>
      </w:r>
      <w:r w:rsidRPr="00975328">
        <w:rPr>
          <w:rFonts w:ascii="Times New Roman" w:hAnsi="Times New Roman" w:cs="Times New Roman"/>
          <w:sz w:val="24"/>
          <w:szCs w:val="24"/>
        </w:rPr>
        <w:t>To validate our model's efficacy, we applied it to screen an in-house compound set and</w:t>
      </w:r>
      <w:r>
        <w:rPr>
          <w:rFonts w:ascii="Times New Roman" w:hAnsi="Times New Roman" w:cs="Times New Roman"/>
          <w:sz w:val="24"/>
          <w:szCs w:val="24"/>
        </w:rPr>
        <w:t xml:space="preserve"> </w:t>
      </w:r>
      <w:r w:rsidRPr="004C52D9">
        <w:rPr>
          <w:rFonts w:ascii="Times New Roman" w:hAnsi="Times New Roman" w:cs="Times New Roman"/>
          <w:sz w:val="24"/>
          <w:szCs w:val="24"/>
        </w:rPr>
        <w:t xml:space="preserve">confirmed </w:t>
      </w:r>
      <w:r>
        <w:rPr>
          <w:rFonts w:ascii="Times New Roman" w:hAnsi="Times New Roman" w:cs="Times New Roman"/>
          <w:sz w:val="24"/>
          <w:szCs w:val="24"/>
        </w:rPr>
        <w:t>8</w:t>
      </w:r>
      <w:r w:rsidRPr="004C52D9">
        <w:rPr>
          <w:rFonts w:ascii="Times New Roman" w:hAnsi="Times New Roman" w:cs="Times New Roman"/>
          <w:sz w:val="24"/>
          <w:szCs w:val="24"/>
        </w:rPr>
        <w:t xml:space="preserve"> </w:t>
      </w:r>
      <w:r>
        <w:rPr>
          <w:rFonts w:ascii="Times New Roman" w:hAnsi="Times New Roman" w:cs="Times New Roman"/>
          <w:sz w:val="24"/>
          <w:szCs w:val="24"/>
        </w:rPr>
        <w:t xml:space="preserve">hits </w:t>
      </w:r>
      <w:r w:rsidRPr="004C52D9">
        <w:rPr>
          <w:rFonts w:ascii="Times New Roman" w:hAnsi="Times New Roman" w:cs="Times New Roman"/>
          <w:sz w:val="24"/>
          <w:szCs w:val="24"/>
        </w:rPr>
        <w:t xml:space="preserve">out of the top 10 compounds </w:t>
      </w:r>
      <w:r>
        <w:rPr>
          <w:rFonts w:ascii="Times New Roman" w:hAnsi="Times New Roman" w:cs="Times New Roman"/>
          <w:sz w:val="24"/>
          <w:szCs w:val="24"/>
        </w:rPr>
        <w:t>with</w:t>
      </w:r>
      <w:r w:rsidRPr="004C52D9">
        <w:rPr>
          <w:rFonts w:ascii="Times New Roman" w:hAnsi="Times New Roman" w:cs="Times New Roman"/>
          <w:sz w:val="24"/>
          <w:szCs w:val="24"/>
        </w:rPr>
        <w:t xml:space="preserve"> uncertainty ranking, demonstrating a significantly higher hit ratio than using prediction values alone. These results highlight the effective guidance of evidential uncertainties in accelerating virtual screening. In future computational prediction-guided experiments, we strongly recommend prioritizing compounds with higher certainty for experimental validation.</w:t>
      </w:r>
    </w:p>
    <w:p w14:paraId="602A7C58" w14:textId="77777777" w:rsidR="0020202E" w:rsidRPr="004C52D9" w:rsidRDefault="0020202E" w:rsidP="0020202E">
      <w:pPr>
        <w:pStyle w:val="af0"/>
        <w:spacing w:line="276" w:lineRule="auto"/>
        <w:ind w:firstLineChars="0" w:firstLine="0"/>
        <w:rPr>
          <w:rFonts w:ascii="Times New Roman" w:hAnsi="Times New Roman" w:cs="Times New Roman"/>
          <w:sz w:val="24"/>
          <w:szCs w:val="24"/>
        </w:rPr>
      </w:pPr>
    </w:p>
    <w:p w14:paraId="58F12C49" w14:textId="77777777" w:rsidR="0020202E" w:rsidRPr="004C52D9" w:rsidRDefault="0020202E" w:rsidP="0020202E">
      <w:pPr>
        <w:pStyle w:val="1"/>
        <w:spacing w:beforeLines="50" w:before="156" w:afterLines="50" w:after="156" w:line="240" w:lineRule="auto"/>
        <w:rPr>
          <w:rFonts w:ascii="Times New Roman" w:hAnsi="Times New Roman" w:cs="Times New Roman"/>
          <w:sz w:val="36"/>
          <w:szCs w:val="36"/>
        </w:rPr>
      </w:pPr>
      <w:r w:rsidRPr="004C52D9">
        <w:rPr>
          <w:rFonts w:ascii="Times New Roman" w:hAnsi="Times New Roman" w:cs="Times New Roman"/>
          <w:sz w:val="36"/>
          <w:szCs w:val="36"/>
        </w:rPr>
        <w:lastRenderedPageBreak/>
        <w:t>DATA AND SOFTWARE AVAILABILITY</w:t>
      </w:r>
    </w:p>
    <w:p w14:paraId="373CD113" w14:textId="1DA91566" w:rsidR="0020202E" w:rsidRPr="004C52D9" w:rsidRDefault="0020202E" w:rsidP="00B8732A">
      <w:pPr>
        <w:autoSpaceDE w:val="0"/>
        <w:autoSpaceDN w:val="0"/>
        <w:adjustRightInd w:val="0"/>
        <w:spacing w:beforeLines="50" w:before="156" w:afterLines="50" w:after="156" w:line="276" w:lineRule="auto"/>
        <w:rPr>
          <w:rFonts w:ascii="Times New Roman" w:hAnsi="Times New Roman" w:cs="Times New Roman"/>
          <w:sz w:val="24"/>
          <w:szCs w:val="24"/>
        </w:rPr>
      </w:pPr>
      <w:r w:rsidRPr="004C52D9">
        <w:rPr>
          <w:rFonts w:ascii="Times New Roman" w:hAnsi="Times New Roman" w:cs="Times New Roman"/>
          <w:sz w:val="24"/>
          <w:szCs w:val="24"/>
        </w:rPr>
        <w:t xml:space="preserve">All data involved in this study and the source code are available at </w:t>
      </w:r>
      <w:r w:rsidRPr="004C52D9">
        <w:rPr>
          <w:rFonts w:ascii="Times New Roman" w:hAnsi="Times New Roman" w:cs="Times New Roman"/>
          <w:sz w:val="32"/>
          <w:szCs w:val="32"/>
        </w:rPr>
        <w:t xml:space="preserve"> </w:t>
      </w:r>
      <w:hyperlink r:id="rId16" w:history="1">
        <w:r w:rsidR="00B23A33">
          <w:rPr>
            <w:rStyle w:val="af3"/>
            <w:rFonts w:ascii="Times New Roman" w:eastAsia="楷体" w:hAnsi="Times New Roman" w:cs="Times New Roman"/>
            <w:bCs/>
            <w:kern w:val="0"/>
            <w:sz w:val="24"/>
            <w:szCs w:val="24"/>
          </w:rPr>
          <w:t>https://github.com/wangwrx/An-uncertainty-guided-deep-learning-method-facilitates-rapid-screening-of-CYP3A4-inhibitors</w:t>
        </w:r>
      </w:hyperlink>
      <w:r w:rsidR="00513534" w:rsidRPr="00513534">
        <w:rPr>
          <w:rStyle w:val="af3"/>
          <w:rFonts w:eastAsia="楷体" w:hint="eastAsia"/>
          <w:bCs/>
          <w:kern w:val="0"/>
        </w:rPr>
        <w:t>.</w:t>
      </w:r>
    </w:p>
    <w:p w14:paraId="332D969A" w14:textId="77777777" w:rsidR="0020202E" w:rsidRPr="004C52D9" w:rsidRDefault="0020202E" w:rsidP="0020202E">
      <w:pPr>
        <w:spacing w:beforeLines="50" w:before="156" w:afterLines="50" w:after="156"/>
        <w:rPr>
          <w:rFonts w:ascii="Times New Roman" w:hAnsi="Times New Roman" w:cs="Times New Roman"/>
          <w:sz w:val="24"/>
        </w:rPr>
      </w:pPr>
    </w:p>
    <w:p w14:paraId="76F75D78" w14:textId="77777777" w:rsidR="0020202E" w:rsidRPr="004C52D9" w:rsidRDefault="0020202E" w:rsidP="0020202E">
      <w:pPr>
        <w:pStyle w:val="1"/>
        <w:spacing w:beforeLines="50" w:before="156" w:afterLines="50" w:after="156" w:line="240" w:lineRule="auto"/>
        <w:rPr>
          <w:rFonts w:ascii="Times New Roman" w:hAnsi="Times New Roman" w:cs="Times New Roman"/>
          <w:sz w:val="36"/>
          <w:szCs w:val="36"/>
        </w:rPr>
      </w:pPr>
      <w:r w:rsidRPr="004C52D9">
        <w:rPr>
          <w:rFonts w:ascii="Times New Roman" w:hAnsi="Times New Roman" w:cs="Times New Roman"/>
          <w:sz w:val="36"/>
          <w:szCs w:val="36"/>
        </w:rPr>
        <w:t>ASSOCIATED CONTENT</w:t>
      </w:r>
    </w:p>
    <w:p w14:paraId="0AC9C865" w14:textId="77777777" w:rsidR="0020202E" w:rsidRPr="004C52D9" w:rsidRDefault="0020202E" w:rsidP="0020202E">
      <w:pPr>
        <w:spacing w:beforeLines="50" w:before="156" w:afterLines="50" w:after="156"/>
        <w:rPr>
          <w:rFonts w:ascii="Times New Roman" w:hAnsi="Times New Roman" w:cs="Times New Roman"/>
          <w:sz w:val="24"/>
        </w:rPr>
      </w:pPr>
      <w:r w:rsidRPr="004C52D9">
        <w:rPr>
          <w:rFonts w:ascii="Times New Roman" w:hAnsi="Times New Roman" w:cs="Times New Roman"/>
          <w:sz w:val="28"/>
          <w:szCs w:val="24"/>
        </w:rPr>
        <w:t>Supporting Information</w:t>
      </w:r>
      <w:r w:rsidRPr="004C52D9">
        <w:rPr>
          <w:rFonts w:ascii="Times New Roman" w:hAnsi="Times New Roman" w:cs="Times New Roman"/>
          <w:sz w:val="24"/>
        </w:rPr>
        <w:t xml:space="preserve"> </w:t>
      </w:r>
    </w:p>
    <w:p w14:paraId="7A1991A5" w14:textId="77777777" w:rsidR="0020202E" w:rsidRPr="004C52D9" w:rsidRDefault="0020202E" w:rsidP="00B8732A">
      <w:pPr>
        <w:autoSpaceDE w:val="0"/>
        <w:autoSpaceDN w:val="0"/>
        <w:adjustRightInd w:val="0"/>
        <w:spacing w:beforeLines="50" w:before="156" w:afterLines="50" w:after="156" w:line="276" w:lineRule="auto"/>
        <w:rPr>
          <w:rStyle w:val="af3"/>
          <w:rFonts w:ascii="Times New Roman" w:hAnsi="Times New Roman" w:cs="Times New Roman"/>
          <w:sz w:val="24"/>
          <w:szCs w:val="24"/>
        </w:rPr>
      </w:pPr>
      <w:r w:rsidRPr="005C60FF">
        <w:rPr>
          <w:rFonts w:ascii="Times New Roman" w:hAnsi="Times New Roman" w:cs="Times New Roman"/>
          <w:sz w:val="24"/>
        </w:rPr>
        <w:t xml:space="preserve">The Supporting Information is available free of charge at </w:t>
      </w:r>
      <w:hyperlink r:id="rId17" w:history="1">
        <w:r w:rsidRPr="004C52D9">
          <w:rPr>
            <w:rStyle w:val="af3"/>
            <w:rFonts w:ascii="Times New Roman" w:hAnsi="Times New Roman" w:cs="Times New Roman"/>
            <w:sz w:val="24"/>
            <w:szCs w:val="24"/>
          </w:rPr>
          <w:t>https://pubs.acs.org/doi/xx.xxx/acs.jcim.xxxxx</w:t>
        </w:r>
      </w:hyperlink>
      <w:r w:rsidRPr="004C52D9">
        <w:rPr>
          <w:rStyle w:val="af3"/>
          <w:rFonts w:ascii="Times New Roman" w:hAnsi="Times New Roman" w:cs="Times New Roman"/>
          <w:sz w:val="24"/>
          <w:szCs w:val="24"/>
        </w:rPr>
        <w:t>.</w:t>
      </w:r>
    </w:p>
    <w:p w14:paraId="41F567AB" w14:textId="77777777" w:rsidR="0020202E" w:rsidRDefault="0020202E" w:rsidP="0020202E">
      <w:pPr>
        <w:pStyle w:val="af0"/>
        <w:spacing w:line="276" w:lineRule="auto"/>
        <w:ind w:firstLineChars="0" w:firstLine="0"/>
        <w:rPr>
          <w:rFonts w:ascii="Times New Roman" w:hAnsi="Times New Roman" w:cs="Times New Roman"/>
          <w:b/>
          <w:bCs/>
          <w:sz w:val="24"/>
          <w:szCs w:val="24"/>
        </w:rPr>
      </w:pPr>
    </w:p>
    <w:p w14:paraId="7E96E75B" w14:textId="77777777" w:rsidR="0020202E" w:rsidRPr="001A68D1" w:rsidRDefault="0020202E" w:rsidP="0020202E">
      <w:pPr>
        <w:pStyle w:val="1"/>
        <w:spacing w:beforeLines="50" w:before="156" w:afterLines="50" w:after="156" w:line="240" w:lineRule="auto"/>
        <w:rPr>
          <w:rFonts w:ascii="Times New Roman" w:hAnsi="Times New Roman" w:cs="Times New Roman"/>
          <w:sz w:val="36"/>
          <w:szCs w:val="36"/>
        </w:rPr>
      </w:pPr>
      <w:r w:rsidRPr="001A68D1">
        <w:rPr>
          <w:rFonts w:ascii="Times New Roman" w:hAnsi="Times New Roman" w:cs="Times New Roman"/>
          <w:sz w:val="36"/>
          <w:szCs w:val="36"/>
        </w:rPr>
        <w:t>AUTHOR INFORMATION</w:t>
      </w:r>
    </w:p>
    <w:p w14:paraId="7E367EE6" w14:textId="77777777" w:rsidR="0020202E" w:rsidRPr="0031737C" w:rsidRDefault="0020202E" w:rsidP="0020202E">
      <w:pPr>
        <w:autoSpaceDE w:val="0"/>
        <w:autoSpaceDN w:val="0"/>
        <w:adjustRightInd w:val="0"/>
        <w:spacing w:line="276" w:lineRule="auto"/>
        <w:rPr>
          <w:rFonts w:ascii="Times New Roman" w:hAnsi="Times New Roman" w:cs="Times New Roman"/>
          <w:b/>
          <w:bCs/>
          <w:color w:val="000000"/>
          <w:kern w:val="0"/>
          <w:sz w:val="24"/>
          <w:szCs w:val="24"/>
        </w:rPr>
      </w:pPr>
      <w:r w:rsidRPr="0031737C">
        <w:rPr>
          <w:rFonts w:ascii="Times New Roman" w:hAnsi="Times New Roman" w:cs="Times New Roman"/>
          <w:b/>
          <w:bCs/>
          <w:color w:val="000000"/>
          <w:kern w:val="0"/>
          <w:sz w:val="24"/>
          <w:szCs w:val="24"/>
        </w:rPr>
        <w:t>Corresponding Authors</w:t>
      </w:r>
    </w:p>
    <w:p w14:paraId="0BAF2CAD" w14:textId="77777777" w:rsidR="0020202E" w:rsidRDefault="0020202E" w:rsidP="0020202E">
      <w:pPr>
        <w:autoSpaceDE w:val="0"/>
        <w:autoSpaceDN w:val="0"/>
        <w:adjustRightInd w:val="0"/>
        <w:spacing w:line="276" w:lineRule="auto"/>
        <w:rPr>
          <w:rFonts w:ascii="Times New Roman" w:hAnsi="Times New Roman" w:cs="Times New Roman"/>
          <w:sz w:val="24"/>
          <w:szCs w:val="28"/>
        </w:rPr>
      </w:pPr>
      <w:bookmarkStart w:id="10" w:name="_Hlk135938288"/>
      <w:proofErr w:type="spellStart"/>
      <w:r>
        <w:rPr>
          <w:rFonts w:ascii="Times New Roman" w:hAnsi="Times New Roman" w:cs="Times New Roman"/>
          <w:sz w:val="24"/>
          <w:szCs w:val="28"/>
        </w:rPr>
        <w:t>Guangbo</w:t>
      </w:r>
      <w:proofErr w:type="spellEnd"/>
      <w:r>
        <w:rPr>
          <w:rFonts w:ascii="Times New Roman" w:hAnsi="Times New Roman" w:cs="Times New Roman"/>
          <w:sz w:val="24"/>
          <w:szCs w:val="28"/>
        </w:rPr>
        <w:t xml:space="preserve"> Ge</w:t>
      </w:r>
      <w:r w:rsidRPr="00965DB4">
        <w:rPr>
          <w:rFonts w:ascii="Times New Roman" w:hAnsi="Times New Roman" w:cs="Times New Roman"/>
          <w:color w:val="000000"/>
          <w:kern w:val="0"/>
          <w:sz w:val="24"/>
          <w:szCs w:val="24"/>
        </w:rPr>
        <w:t xml:space="preserve"> − </w:t>
      </w:r>
      <w:r w:rsidRPr="004C52D9">
        <w:rPr>
          <w:rFonts w:ascii="Times New Roman" w:hAnsi="Times New Roman" w:cs="Times New Roman"/>
          <w:sz w:val="24"/>
          <w:szCs w:val="28"/>
        </w:rPr>
        <w:t>Shanghai Frontiers Science Center of TCM Chemical Biology, Institute of Interdisciplinary Integrative Medicine Research, Shanghai University of Traditional Chinese Medicine, Shanghai 201203, China</w:t>
      </w:r>
      <w:r>
        <w:rPr>
          <w:rFonts w:ascii="Times New Roman" w:hAnsi="Times New Roman" w:cs="Times New Roman"/>
          <w:sz w:val="24"/>
          <w:szCs w:val="28"/>
        </w:rPr>
        <w:t xml:space="preserve">. E-mail: </w:t>
      </w:r>
      <w:hyperlink r:id="rId18" w:history="1">
        <w:r w:rsidRPr="00983F55">
          <w:rPr>
            <w:rStyle w:val="af3"/>
            <w:rFonts w:ascii="Times New Roman" w:hAnsi="Times New Roman" w:cs="Times New Roman"/>
            <w:sz w:val="24"/>
            <w:szCs w:val="28"/>
          </w:rPr>
          <w:t>geguangbo@shutcm.edu.cn</w:t>
        </w:r>
      </w:hyperlink>
    </w:p>
    <w:p w14:paraId="5A51AAB5" w14:textId="77777777" w:rsidR="0020202E" w:rsidRPr="00965DB4" w:rsidRDefault="0020202E" w:rsidP="0020202E">
      <w:pPr>
        <w:autoSpaceDE w:val="0"/>
        <w:autoSpaceDN w:val="0"/>
        <w:adjustRightInd w:val="0"/>
        <w:spacing w:line="276" w:lineRule="auto"/>
        <w:rPr>
          <w:rFonts w:ascii="Times New Roman" w:hAnsi="Times New Roman" w:cs="Times New Roman"/>
          <w:color w:val="000000"/>
          <w:kern w:val="0"/>
          <w:sz w:val="24"/>
          <w:szCs w:val="24"/>
        </w:rPr>
      </w:pPr>
      <w:r w:rsidRPr="00965DB4">
        <w:rPr>
          <w:rFonts w:ascii="Times New Roman" w:hAnsi="Times New Roman" w:cs="Times New Roman"/>
          <w:color w:val="000000"/>
          <w:kern w:val="0"/>
          <w:sz w:val="24"/>
          <w:szCs w:val="24"/>
        </w:rPr>
        <w:t xml:space="preserve">Xiaoqing Guan − </w:t>
      </w:r>
      <w:r w:rsidRPr="004C52D9">
        <w:rPr>
          <w:rFonts w:ascii="Times New Roman" w:hAnsi="Times New Roman" w:cs="Times New Roman"/>
          <w:sz w:val="24"/>
          <w:szCs w:val="28"/>
        </w:rPr>
        <w:t>Shanghai Frontiers Science Center of TCM Chemical Biology, Institute of Interdisciplinary Integrative Medicine Research, Shanghai University of Traditional Chinese Medicine, Shanghai 201203</w:t>
      </w:r>
      <w:r w:rsidRPr="00965DB4">
        <w:rPr>
          <w:rFonts w:ascii="Times New Roman" w:hAnsi="Times New Roman" w:cs="Times New Roman"/>
          <w:color w:val="000000"/>
          <w:kern w:val="0"/>
          <w:sz w:val="24"/>
          <w:szCs w:val="24"/>
        </w:rPr>
        <w:t xml:space="preserve">, China. E-mail: </w:t>
      </w:r>
      <w:hyperlink r:id="rId19" w:history="1">
        <w:r w:rsidRPr="00965DB4">
          <w:rPr>
            <w:rStyle w:val="af3"/>
            <w:rFonts w:ascii="Times New Roman" w:hAnsi="Times New Roman" w:cs="Times New Roman"/>
            <w:kern w:val="0"/>
            <w:sz w:val="24"/>
            <w:szCs w:val="24"/>
          </w:rPr>
          <w:t>guanxq@shutcm.edu.cn</w:t>
        </w:r>
      </w:hyperlink>
    </w:p>
    <w:bookmarkEnd w:id="10"/>
    <w:p w14:paraId="0A0ED4FF" w14:textId="77777777" w:rsidR="0020202E" w:rsidRPr="00965DB4" w:rsidRDefault="0020202E" w:rsidP="0020202E">
      <w:pPr>
        <w:autoSpaceDE w:val="0"/>
        <w:autoSpaceDN w:val="0"/>
        <w:adjustRightInd w:val="0"/>
        <w:spacing w:line="276" w:lineRule="auto"/>
        <w:rPr>
          <w:rFonts w:ascii="Times New Roman" w:hAnsi="Times New Roman" w:cs="Times New Roman"/>
          <w:color w:val="000000"/>
          <w:kern w:val="0"/>
          <w:sz w:val="24"/>
          <w:szCs w:val="24"/>
        </w:rPr>
      </w:pPr>
      <w:proofErr w:type="spellStart"/>
      <w:r w:rsidRPr="00965DB4">
        <w:rPr>
          <w:rFonts w:ascii="Times New Roman" w:hAnsi="Times New Roman" w:cs="Times New Roman"/>
          <w:color w:val="000000"/>
          <w:kern w:val="0"/>
          <w:sz w:val="24"/>
          <w:szCs w:val="24"/>
        </w:rPr>
        <w:t>Qingping</w:t>
      </w:r>
      <w:proofErr w:type="spellEnd"/>
      <w:r w:rsidRPr="00965DB4">
        <w:rPr>
          <w:rFonts w:ascii="Times New Roman" w:hAnsi="Times New Roman" w:cs="Times New Roman"/>
          <w:color w:val="000000"/>
          <w:kern w:val="0"/>
          <w:sz w:val="24"/>
          <w:szCs w:val="24"/>
        </w:rPr>
        <w:t xml:space="preserve"> Zhou − </w:t>
      </w:r>
      <w:r w:rsidRPr="00965DB4">
        <w:rPr>
          <w:rFonts w:ascii="Times New Roman" w:hAnsi="Times New Roman" w:cs="Times New Roman"/>
          <w:sz w:val="24"/>
          <w:szCs w:val="24"/>
        </w:rPr>
        <w:t xml:space="preserve">School of Mathematics and Statistics, Central South University, </w:t>
      </w:r>
      <w:bookmarkStart w:id="11" w:name="OLE_LINK21"/>
      <w:r w:rsidRPr="00965DB4">
        <w:rPr>
          <w:rFonts w:ascii="Times New Roman" w:hAnsi="Times New Roman" w:cs="Times New Roman"/>
          <w:sz w:val="24"/>
          <w:szCs w:val="24"/>
        </w:rPr>
        <w:t>Changsha 410083</w:t>
      </w:r>
      <w:bookmarkEnd w:id="11"/>
      <w:r w:rsidRPr="00965DB4">
        <w:rPr>
          <w:rFonts w:ascii="Times New Roman" w:hAnsi="Times New Roman" w:cs="Times New Roman"/>
          <w:sz w:val="24"/>
          <w:szCs w:val="24"/>
        </w:rPr>
        <w:t xml:space="preserve">, Hunan, China. E-mail: </w:t>
      </w:r>
      <w:bookmarkStart w:id="12" w:name="OLE_LINK4"/>
      <w:r>
        <w:fldChar w:fldCharType="begin"/>
      </w:r>
      <w:r>
        <w:instrText>HYPERLINK "mailto:qpzhou@csu.edu.cn"</w:instrText>
      </w:r>
      <w:r>
        <w:fldChar w:fldCharType="separate"/>
      </w:r>
      <w:r w:rsidRPr="00965DB4">
        <w:rPr>
          <w:rStyle w:val="af3"/>
          <w:rFonts w:ascii="Times New Roman" w:hAnsi="Times New Roman" w:cs="Times New Roman"/>
          <w:sz w:val="24"/>
          <w:szCs w:val="24"/>
        </w:rPr>
        <w:t>qpzhou@csu.edu.cn</w:t>
      </w:r>
      <w:r>
        <w:rPr>
          <w:rStyle w:val="af3"/>
          <w:rFonts w:ascii="Times New Roman" w:hAnsi="Times New Roman" w:cs="Times New Roman"/>
          <w:sz w:val="24"/>
          <w:szCs w:val="24"/>
        </w:rPr>
        <w:fldChar w:fldCharType="end"/>
      </w:r>
      <w:bookmarkEnd w:id="12"/>
    </w:p>
    <w:p w14:paraId="760DFC0C" w14:textId="77777777" w:rsidR="0020202E" w:rsidRPr="0031737C" w:rsidRDefault="0020202E" w:rsidP="0020202E">
      <w:pPr>
        <w:autoSpaceDE w:val="0"/>
        <w:autoSpaceDN w:val="0"/>
        <w:adjustRightInd w:val="0"/>
        <w:spacing w:line="276" w:lineRule="auto"/>
        <w:rPr>
          <w:rFonts w:ascii="Times New Roman" w:hAnsi="Times New Roman" w:cs="Times New Roman"/>
          <w:b/>
          <w:bCs/>
          <w:color w:val="000000"/>
          <w:kern w:val="0"/>
          <w:sz w:val="24"/>
          <w:szCs w:val="24"/>
        </w:rPr>
      </w:pPr>
      <w:r w:rsidRPr="0031737C">
        <w:rPr>
          <w:rFonts w:ascii="Times New Roman" w:hAnsi="Times New Roman" w:cs="Times New Roman"/>
          <w:b/>
          <w:bCs/>
          <w:color w:val="000000"/>
          <w:kern w:val="0"/>
          <w:sz w:val="24"/>
          <w:szCs w:val="24"/>
        </w:rPr>
        <w:t>Authors</w:t>
      </w:r>
    </w:p>
    <w:p w14:paraId="118B4828" w14:textId="77777777" w:rsidR="0020202E" w:rsidRPr="00965DB4" w:rsidRDefault="0020202E" w:rsidP="0020202E">
      <w:pPr>
        <w:autoSpaceDE w:val="0"/>
        <w:autoSpaceDN w:val="0"/>
        <w:adjustRightInd w:val="0"/>
        <w:spacing w:line="276" w:lineRule="auto"/>
        <w:rPr>
          <w:rFonts w:ascii="Times New Roman" w:hAnsi="Times New Roman" w:cs="Times New Roman"/>
          <w:color w:val="000000"/>
          <w:kern w:val="0"/>
          <w:sz w:val="24"/>
          <w:szCs w:val="24"/>
        </w:rPr>
      </w:pPr>
      <w:r w:rsidRPr="004C52D9">
        <w:rPr>
          <w:rFonts w:ascii="Times New Roman" w:hAnsi="Times New Roman" w:cs="Times New Roman"/>
          <w:sz w:val="24"/>
          <w:szCs w:val="28"/>
        </w:rPr>
        <w:t>Ruixuan Wang</w:t>
      </w:r>
      <w:r w:rsidRPr="00965DB4">
        <w:rPr>
          <w:rFonts w:ascii="Times New Roman" w:hAnsi="Times New Roman" w:cs="Times New Roman"/>
          <w:color w:val="000000"/>
          <w:kern w:val="0"/>
          <w:sz w:val="24"/>
          <w:szCs w:val="24"/>
        </w:rPr>
        <w:t xml:space="preserve"> − </w:t>
      </w:r>
      <w:r w:rsidRPr="004C52D9">
        <w:rPr>
          <w:rFonts w:ascii="Times New Roman" w:hAnsi="Times New Roman" w:cs="Times New Roman"/>
          <w:sz w:val="24"/>
          <w:szCs w:val="28"/>
        </w:rPr>
        <w:t>Shanghai Frontiers Science Center of TCM Chemical Biology, Institute of Interdisciplinary Integrative Medicine Research, Shanghai University of Traditional Chinese Medicine, Shanghai 201203</w:t>
      </w:r>
      <w:r w:rsidRPr="00965DB4">
        <w:rPr>
          <w:rFonts w:ascii="Times New Roman" w:hAnsi="Times New Roman" w:cs="Times New Roman"/>
          <w:color w:val="000000"/>
          <w:kern w:val="0"/>
          <w:sz w:val="24"/>
          <w:szCs w:val="24"/>
        </w:rPr>
        <w:t>, China</w:t>
      </w:r>
    </w:p>
    <w:p w14:paraId="275BDA4F" w14:textId="77777777" w:rsidR="0020202E" w:rsidRPr="00965DB4" w:rsidRDefault="0020202E" w:rsidP="0020202E">
      <w:pPr>
        <w:autoSpaceDE w:val="0"/>
        <w:autoSpaceDN w:val="0"/>
        <w:adjustRightInd w:val="0"/>
        <w:spacing w:line="276" w:lineRule="auto"/>
        <w:rPr>
          <w:rFonts w:ascii="Times New Roman" w:hAnsi="Times New Roman" w:cs="Times New Roman"/>
          <w:sz w:val="24"/>
          <w:szCs w:val="24"/>
        </w:rPr>
      </w:pPr>
      <w:proofErr w:type="spellStart"/>
      <w:r w:rsidRPr="004C52D9">
        <w:rPr>
          <w:rFonts w:ascii="Times New Roman" w:hAnsi="Times New Roman" w:cs="Times New Roman"/>
          <w:sz w:val="24"/>
          <w:szCs w:val="28"/>
        </w:rPr>
        <w:t>Zhikang</w:t>
      </w:r>
      <w:proofErr w:type="spellEnd"/>
      <w:r w:rsidRPr="004C52D9">
        <w:rPr>
          <w:rFonts w:ascii="Times New Roman" w:hAnsi="Times New Roman" w:cs="Times New Roman"/>
          <w:sz w:val="24"/>
          <w:szCs w:val="28"/>
        </w:rPr>
        <w:t xml:space="preserve"> Liu</w:t>
      </w:r>
      <w:r w:rsidRPr="00965DB4">
        <w:rPr>
          <w:rFonts w:ascii="Times New Roman" w:hAnsi="Times New Roman" w:cs="Times New Roman"/>
          <w:color w:val="000000"/>
          <w:kern w:val="0"/>
          <w:sz w:val="24"/>
          <w:szCs w:val="24"/>
        </w:rPr>
        <w:t xml:space="preserve"> − </w:t>
      </w:r>
      <w:r w:rsidRPr="00965DB4">
        <w:rPr>
          <w:rFonts w:ascii="Times New Roman" w:hAnsi="Times New Roman" w:cs="Times New Roman"/>
          <w:sz w:val="24"/>
          <w:szCs w:val="24"/>
        </w:rPr>
        <w:t>School of Mathematics and Statistics, Central South University, Changsha 410083, Hunan, China</w:t>
      </w:r>
    </w:p>
    <w:p w14:paraId="09D2CFE2" w14:textId="77777777" w:rsidR="0020202E" w:rsidRPr="00A4429F" w:rsidRDefault="0020202E" w:rsidP="0020202E">
      <w:pPr>
        <w:autoSpaceDE w:val="0"/>
        <w:autoSpaceDN w:val="0"/>
        <w:adjustRightInd w:val="0"/>
        <w:spacing w:line="276" w:lineRule="auto"/>
        <w:rPr>
          <w:rFonts w:ascii="Times New Roman" w:hAnsi="Times New Roman" w:cs="Times New Roman"/>
          <w:color w:val="000000"/>
          <w:kern w:val="0"/>
          <w:sz w:val="24"/>
          <w:szCs w:val="24"/>
        </w:rPr>
      </w:pPr>
      <w:r w:rsidRPr="004C52D9">
        <w:rPr>
          <w:rFonts w:ascii="Times New Roman" w:hAnsi="Times New Roman" w:cs="Times New Roman"/>
          <w:sz w:val="24"/>
          <w:szCs w:val="28"/>
        </w:rPr>
        <w:t>Jiahao Gong</w:t>
      </w:r>
      <w:r w:rsidRPr="00965DB4">
        <w:rPr>
          <w:rFonts w:ascii="Times New Roman" w:hAnsi="Times New Roman" w:cs="Times New Roman"/>
          <w:color w:val="000000"/>
          <w:kern w:val="0"/>
          <w:sz w:val="24"/>
          <w:szCs w:val="24"/>
        </w:rPr>
        <w:t xml:space="preserve"> − </w:t>
      </w:r>
      <w:r w:rsidRPr="004C52D9">
        <w:rPr>
          <w:rFonts w:ascii="Times New Roman" w:hAnsi="Times New Roman" w:cs="Times New Roman"/>
          <w:sz w:val="24"/>
          <w:szCs w:val="28"/>
        </w:rPr>
        <w:t>Shanghai Frontiers Science Center of TCM Chemical Biology, Institute of Interdisciplinary Integrative Medicine Research, Shanghai University of Traditional Chinese Medicine, Shanghai 201203</w:t>
      </w:r>
      <w:r w:rsidRPr="00965DB4">
        <w:rPr>
          <w:rFonts w:ascii="Times New Roman" w:hAnsi="Times New Roman" w:cs="Times New Roman"/>
          <w:color w:val="000000"/>
          <w:kern w:val="0"/>
          <w:sz w:val="24"/>
          <w:szCs w:val="24"/>
        </w:rPr>
        <w:t>, China</w:t>
      </w:r>
    </w:p>
    <w:p w14:paraId="777DDA01" w14:textId="77777777" w:rsidR="0020202E" w:rsidRDefault="0020202E" w:rsidP="0020202E">
      <w:pPr>
        <w:autoSpaceDE w:val="0"/>
        <w:autoSpaceDN w:val="0"/>
        <w:adjustRightInd w:val="0"/>
        <w:spacing w:line="276" w:lineRule="auto"/>
        <w:rPr>
          <w:rStyle w:val="af3"/>
          <w:rFonts w:ascii="Times New Roman" w:hAnsi="Times New Roman" w:cs="Times New Roman"/>
          <w:sz w:val="24"/>
          <w:szCs w:val="24"/>
        </w:rPr>
      </w:pPr>
      <w:r w:rsidRPr="00965DB4">
        <w:rPr>
          <w:rFonts w:ascii="Times New Roman" w:hAnsi="Times New Roman" w:cs="Times New Roman"/>
          <w:sz w:val="24"/>
          <w:szCs w:val="24"/>
        </w:rPr>
        <w:t>Complete contact information is available at:</w:t>
      </w:r>
      <w:r>
        <w:rPr>
          <w:rStyle w:val="af3"/>
          <w:rFonts w:ascii="Times New Roman" w:hAnsi="Times New Roman" w:cs="Times New Roman"/>
          <w:sz w:val="24"/>
          <w:szCs w:val="24"/>
        </w:rPr>
        <w:t xml:space="preserve"> </w:t>
      </w:r>
      <w:bookmarkStart w:id="13" w:name="_Hlk136598153"/>
      <w:r w:rsidRPr="00A4429F">
        <w:rPr>
          <w:rStyle w:val="af3"/>
          <w:rFonts w:ascii="Times New Roman" w:hAnsi="Times New Roman" w:cs="Times New Roman"/>
          <w:sz w:val="24"/>
          <w:szCs w:val="24"/>
        </w:rPr>
        <w:t>https://pubs.acs.org/doi/xx.xxx</w:t>
      </w:r>
    </w:p>
    <w:p w14:paraId="32214E74" w14:textId="77777777" w:rsidR="0020202E" w:rsidRPr="0031737C" w:rsidRDefault="0020202E" w:rsidP="0020202E">
      <w:pPr>
        <w:autoSpaceDE w:val="0"/>
        <w:autoSpaceDN w:val="0"/>
        <w:adjustRightInd w:val="0"/>
        <w:spacing w:line="276" w:lineRule="auto"/>
        <w:rPr>
          <w:rFonts w:ascii="Times New Roman" w:hAnsi="Times New Roman" w:cs="Times New Roman"/>
          <w:b/>
          <w:bCs/>
          <w:sz w:val="24"/>
          <w:szCs w:val="24"/>
        </w:rPr>
      </w:pPr>
      <w:r w:rsidRPr="0031737C">
        <w:rPr>
          <w:rFonts w:ascii="Times New Roman" w:hAnsi="Times New Roman" w:cs="Times New Roman"/>
          <w:b/>
          <w:bCs/>
          <w:sz w:val="24"/>
          <w:szCs w:val="24"/>
        </w:rPr>
        <w:t>Notes</w:t>
      </w:r>
    </w:p>
    <w:p w14:paraId="42CB75CF" w14:textId="77777777" w:rsidR="0020202E" w:rsidRPr="008A4582" w:rsidRDefault="0020202E" w:rsidP="0020202E">
      <w:pPr>
        <w:autoSpaceDE w:val="0"/>
        <w:autoSpaceDN w:val="0"/>
        <w:adjustRightInd w:val="0"/>
        <w:spacing w:line="276" w:lineRule="auto"/>
        <w:rPr>
          <w:rFonts w:ascii="Times New Roman" w:hAnsi="Times New Roman" w:cs="Times New Roman"/>
          <w:sz w:val="24"/>
          <w:szCs w:val="24"/>
        </w:rPr>
      </w:pPr>
      <w:r w:rsidRPr="008A4582">
        <w:rPr>
          <w:rFonts w:ascii="Times New Roman" w:hAnsi="Times New Roman" w:cs="Times New Roman"/>
          <w:sz w:val="24"/>
          <w:szCs w:val="24"/>
        </w:rPr>
        <w:t>The authors declare no competing financial interest.</w:t>
      </w:r>
    </w:p>
    <w:bookmarkEnd w:id="13"/>
    <w:p w14:paraId="12734C7C" w14:textId="77777777" w:rsidR="0020202E" w:rsidRPr="00965DB4" w:rsidRDefault="0020202E" w:rsidP="0020202E">
      <w:pPr>
        <w:autoSpaceDE w:val="0"/>
        <w:autoSpaceDN w:val="0"/>
        <w:adjustRightInd w:val="0"/>
        <w:spacing w:beforeLines="50" w:before="156" w:afterLines="50" w:after="156"/>
        <w:jc w:val="left"/>
        <w:rPr>
          <w:rFonts w:ascii="Times New Roman" w:hAnsi="Times New Roman" w:cs="Times New Roman"/>
          <w:szCs w:val="21"/>
        </w:rPr>
      </w:pPr>
    </w:p>
    <w:p w14:paraId="6C49F30E" w14:textId="77777777" w:rsidR="0020202E" w:rsidRPr="00C90E57" w:rsidRDefault="0020202E" w:rsidP="0020202E">
      <w:pPr>
        <w:keepNext/>
        <w:keepLines/>
        <w:spacing w:beforeLines="50" w:before="156" w:afterLines="50" w:after="156"/>
        <w:outlineLvl w:val="0"/>
        <w:rPr>
          <w:rFonts w:ascii="Times New Roman" w:hAnsi="Times New Roman" w:cs="Times New Roman"/>
          <w:b/>
          <w:bCs/>
          <w:kern w:val="44"/>
          <w:sz w:val="24"/>
          <w:szCs w:val="24"/>
        </w:rPr>
      </w:pPr>
      <w:r w:rsidRPr="00C90E57">
        <w:rPr>
          <w:rFonts w:ascii="Times New Roman" w:hAnsi="Times New Roman" w:cs="Times New Roman"/>
          <w:b/>
          <w:bCs/>
          <w:kern w:val="44"/>
          <w:sz w:val="36"/>
          <w:szCs w:val="36"/>
        </w:rPr>
        <w:t>ACKNOWLEDGMENTS</w:t>
      </w:r>
    </w:p>
    <w:p w14:paraId="6BFE6143" w14:textId="77777777" w:rsidR="0020202E" w:rsidRPr="0031737C" w:rsidRDefault="0020202E" w:rsidP="00B8732A">
      <w:pPr>
        <w:autoSpaceDE w:val="0"/>
        <w:autoSpaceDN w:val="0"/>
        <w:spacing w:beforeLines="50" w:before="156" w:afterLines="50" w:after="156" w:line="276" w:lineRule="auto"/>
        <w:ind w:right="44"/>
        <w:jc w:val="left"/>
        <w:rPr>
          <w:rFonts w:ascii="Times New Roman" w:eastAsia="Palatino Linotype" w:hAnsi="Times New Roman" w:cs="Times New Roman"/>
          <w:kern w:val="0"/>
          <w:sz w:val="24"/>
          <w:szCs w:val="24"/>
          <w:lang w:eastAsia="en-US" w:bidi="en-US"/>
        </w:rPr>
      </w:pPr>
      <w:r w:rsidRPr="0031737C">
        <w:rPr>
          <w:rFonts w:ascii="Times New Roman" w:eastAsia="Palatino Linotype" w:hAnsi="Times New Roman" w:cs="Times New Roman"/>
          <w:kern w:val="0"/>
          <w:sz w:val="24"/>
          <w:szCs w:val="24"/>
          <w:lang w:eastAsia="en-US" w:bidi="en-US"/>
        </w:rPr>
        <w:t>This work was financially supported by the NSF of China (82204606, 81922070, 81973286</w:t>
      </w:r>
      <w:r>
        <w:rPr>
          <w:rFonts w:ascii="宋体" w:eastAsia="宋体" w:hAnsi="宋体" w:cs="宋体" w:hint="eastAsia"/>
          <w:kern w:val="0"/>
          <w:sz w:val="24"/>
          <w:szCs w:val="24"/>
          <w:lang w:bidi="en-US"/>
        </w:rPr>
        <w:t>,</w:t>
      </w:r>
      <w:r>
        <w:rPr>
          <w:rFonts w:ascii="宋体" w:eastAsia="宋体" w:hAnsi="宋体" w:cs="宋体"/>
          <w:kern w:val="0"/>
          <w:sz w:val="24"/>
          <w:szCs w:val="24"/>
          <w:lang w:bidi="en-US"/>
        </w:rPr>
        <w:t xml:space="preserve"> </w:t>
      </w:r>
      <w:r w:rsidRPr="00C90E57">
        <w:rPr>
          <w:rFonts w:ascii="Times New Roman" w:eastAsia="Palatino Linotype" w:hAnsi="Times New Roman" w:cs="Times New Roman"/>
          <w:kern w:val="0"/>
          <w:sz w:val="24"/>
          <w:szCs w:val="24"/>
          <w:lang w:eastAsia="en-US" w:bidi="en-US"/>
        </w:rPr>
        <w:t>82003847</w:t>
      </w:r>
      <w:r>
        <w:rPr>
          <w:rFonts w:ascii="Times New Roman" w:eastAsia="Palatino Linotype" w:hAnsi="Times New Roman" w:cs="Times New Roman"/>
          <w:kern w:val="0"/>
          <w:sz w:val="24"/>
          <w:szCs w:val="24"/>
          <w:lang w:eastAsia="en-US" w:bidi="en-US"/>
        </w:rPr>
        <w:t xml:space="preserve">, </w:t>
      </w:r>
      <w:r w:rsidRPr="00C90E57">
        <w:rPr>
          <w:rFonts w:ascii="Times New Roman" w:eastAsia="Palatino Linotype" w:hAnsi="Times New Roman" w:cs="Times New Roman"/>
          <w:kern w:val="0"/>
          <w:sz w:val="24"/>
          <w:szCs w:val="24"/>
          <w:lang w:eastAsia="en-US" w:bidi="en-US"/>
        </w:rPr>
        <w:t>and 12101614</w:t>
      </w:r>
      <w:r w:rsidRPr="0031737C">
        <w:rPr>
          <w:rFonts w:ascii="Times New Roman" w:eastAsia="Palatino Linotype" w:hAnsi="Times New Roman" w:cs="Times New Roman"/>
          <w:kern w:val="0"/>
          <w:sz w:val="24"/>
          <w:szCs w:val="24"/>
          <w:lang w:eastAsia="en-US" w:bidi="en-US"/>
        </w:rPr>
        <w:t>), Shanghai Municipal Health Commission's TCM Research Project (2022CX005), Innovation Team and Talents Cultivation Program of National Administration of Traditional Chinese Medicine (ZYYCXTDD-202004)</w:t>
      </w:r>
      <w:r w:rsidRPr="00C90E57">
        <w:rPr>
          <w:rFonts w:ascii="Times New Roman" w:eastAsia="Palatino Linotype" w:hAnsi="Times New Roman" w:cs="Times New Roman"/>
          <w:kern w:val="0"/>
          <w:sz w:val="24"/>
          <w:szCs w:val="24"/>
          <w:lang w:eastAsia="en-US" w:bidi="en-US"/>
        </w:rPr>
        <w:t>, the Natural Science Foundation of Hunan Province. China</w:t>
      </w:r>
      <w:r w:rsidRPr="00C90E57">
        <w:rPr>
          <w:rFonts w:ascii="Times New Roman" w:hAnsi="Times New Roman" w:cs="Times New Roman" w:hint="eastAsia"/>
          <w:kern w:val="0"/>
          <w:sz w:val="24"/>
          <w:szCs w:val="24"/>
          <w:lang w:bidi="en-US"/>
        </w:rPr>
        <w:t xml:space="preserve"> </w:t>
      </w:r>
      <w:r w:rsidRPr="00C90E57">
        <w:rPr>
          <w:rFonts w:ascii="Times New Roman" w:eastAsia="Palatino Linotype" w:hAnsi="Times New Roman" w:cs="Times New Roman"/>
          <w:kern w:val="0"/>
          <w:sz w:val="24"/>
          <w:szCs w:val="24"/>
          <w:lang w:eastAsia="en-US" w:bidi="en-US"/>
        </w:rPr>
        <w:t>(Grant No.2021JJ40715).</w:t>
      </w:r>
    </w:p>
    <w:p w14:paraId="73E42AA7" w14:textId="77777777" w:rsidR="0020202E" w:rsidRPr="004C52D9" w:rsidRDefault="0020202E" w:rsidP="0020202E">
      <w:pPr>
        <w:spacing w:beforeLines="50" w:before="156" w:afterLines="50" w:after="156" w:line="276" w:lineRule="auto"/>
        <w:rPr>
          <w:rFonts w:ascii="Times New Roman" w:hAnsi="Times New Roman" w:cs="Times New Roman"/>
          <w:sz w:val="24"/>
          <w:szCs w:val="24"/>
        </w:rPr>
      </w:pPr>
    </w:p>
    <w:p w14:paraId="0AC6F5FE" w14:textId="77777777" w:rsidR="00A4429F" w:rsidRDefault="00A4429F" w:rsidP="00A4429F">
      <w:pPr>
        <w:spacing w:beforeLines="50" w:before="156" w:afterLines="50" w:after="156"/>
        <w:rPr>
          <w:rFonts w:ascii="Times New Roman" w:hAnsi="Times New Roman" w:cs="Times New Roman"/>
          <w:b/>
          <w:bCs/>
          <w:sz w:val="32"/>
          <w:szCs w:val="32"/>
        </w:rPr>
      </w:pPr>
      <w:bookmarkStart w:id="14" w:name="OLE_LINK1"/>
      <w:bookmarkEnd w:id="0"/>
      <w:r w:rsidRPr="00C672C5">
        <w:rPr>
          <w:rFonts w:ascii="Times New Roman" w:hAnsi="Times New Roman" w:cs="Times New Roman"/>
          <w:b/>
          <w:bCs/>
          <w:sz w:val="32"/>
          <w:szCs w:val="32"/>
        </w:rPr>
        <w:t>REFERENCES</w:t>
      </w:r>
    </w:p>
    <w:bookmarkEnd w:id="14"/>
    <w:p w14:paraId="1675ACB0" w14:textId="77777777" w:rsidR="00A73246" w:rsidRPr="00DF3354" w:rsidRDefault="00652CD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fldChar w:fldCharType="begin"/>
      </w:r>
      <w:r w:rsidR="00A73246" w:rsidRPr="00A73246">
        <w:rPr>
          <w:rFonts w:ascii="Times New Roman" w:hAnsi="Times New Roman" w:cs="Times New Roman"/>
          <w:szCs w:val="21"/>
        </w:rPr>
        <w:instrText xml:space="preserve"> ADDIN ZOTERO_BIBL {"uncited":[],"omitted":[],"custom":[]} CSL_BIBLIOGRAPHY </w:instrText>
      </w:r>
      <w:r w:rsidRPr="00A73246">
        <w:rPr>
          <w:rFonts w:ascii="Times New Roman" w:hAnsi="Times New Roman" w:cs="Times New Roman"/>
          <w:szCs w:val="21"/>
        </w:rPr>
        <w:fldChar w:fldCharType="separate"/>
      </w:r>
      <w:r w:rsidR="00A73246" w:rsidRPr="00DF3354">
        <w:rPr>
          <w:rFonts w:ascii="Times New Roman" w:hAnsi="Times New Roman" w:cs="Times New Roman"/>
          <w:szCs w:val="21"/>
        </w:rPr>
        <w:t>(1)</w:t>
      </w:r>
      <w:r w:rsidR="00A73246" w:rsidRPr="00DF3354">
        <w:rPr>
          <w:rFonts w:ascii="Times New Roman" w:hAnsi="Times New Roman" w:cs="Times New Roman"/>
          <w:szCs w:val="21"/>
        </w:rPr>
        <w:tab/>
        <w:t xml:space="preserve">Zhao, M.; Ma, J.; Li, M.; Zhang, Y.; Jiang, B.; Zhao, X.; Huai, C.; Shen, L.; Zhang, N.; He, L.; Qin, S. Cytochrome P450 Enzymes and Drug Metabolism in Humans. </w:t>
      </w:r>
      <w:r w:rsidR="00A73246" w:rsidRPr="00DF3354">
        <w:rPr>
          <w:rFonts w:ascii="Times New Roman" w:hAnsi="Times New Roman" w:cs="Times New Roman"/>
          <w:i/>
          <w:iCs/>
          <w:szCs w:val="21"/>
        </w:rPr>
        <w:t>Int J Mol Sci</w:t>
      </w:r>
      <w:r w:rsidR="00A73246" w:rsidRPr="00DF3354">
        <w:rPr>
          <w:rFonts w:ascii="Times New Roman" w:hAnsi="Times New Roman" w:cs="Times New Roman"/>
          <w:szCs w:val="21"/>
        </w:rPr>
        <w:t xml:space="preserve"> </w:t>
      </w:r>
      <w:r w:rsidR="00A73246" w:rsidRPr="00DF3354">
        <w:rPr>
          <w:rFonts w:ascii="Times New Roman" w:hAnsi="Times New Roman" w:cs="Times New Roman"/>
          <w:b/>
          <w:bCs/>
          <w:szCs w:val="21"/>
        </w:rPr>
        <w:t>2021</w:t>
      </w:r>
      <w:r w:rsidR="00A73246" w:rsidRPr="00DF3354">
        <w:rPr>
          <w:rFonts w:ascii="Times New Roman" w:hAnsi="Times New Roman" w:cs="Times New Roman"/>
          <w:szCs w:val="21"/>
        </w:rPr>
        <w:t xml:space="preserve">, </w:t>
      </w:r>
      <w:r w:rsidR="00A73246" w:rsidRPr="00DF3354">
        <w:rPr>
          <w:rFonts w:ascii="Times New Roman" w:hAnsi="Times New Roman" w:cs="Times New Roman"/>
          <w:i/>
          <w:iCs/>
          <w:szCs w:val="21"/>
        </w:rPr>
        <w:t>22</w:t>
      </w:r>
      <w:r w:rsidR="00A73246" w:rsidRPr="00DF3354">
        <w:rPr>
          <w:rFonts w:ascii="Times New Roman" w:hAnsi="Times New Roman" w:cs="Times New Roman"/>
          <w:szCs w:val="21"/>
        </w:rPr>
        <w:t xml:space="preserve"> (23), 12808.</w:t>
      </w:r>
    </w:p>
    <w:p w14:paraId="3B6EA3A5" w14:textId="4A7FD873" w:rsidR="00A73246" w:rsidRPr="00DF3354" w:rsidRDefault="00A73246" w:rsidP="00A73246">
      <w:pPr>
        <w:pStyle w:val="af5"/>
        <w:spacing w:line="276" w:lineRule="auto"/>
        <w:rPr>
          <w:rFonts w:ascii="Times New Roman" w:hAnsi="Times New Roman" w:cs="Times New Roman"/>
          <w:szCs w:val="21"/>
        </w:rPr>
      </w:pPr>
      <w:r w:rsidRPr="00DF3354">
        <w:rPr>
          <w:rFonts w:ascii="Times New Roman" w:hAnsi="Times New Roman" w:cs="Times New Roman"/>
          <w:szCs w:val="21"/>
        </w:rPr>
        <w:t>(2)</w:t>
      </w:r>
      <w:r w:rsidRPr="00DF3354">
        <w:rPr>
          <w:rFonts w:ascii="Times New Roman" w:hAnsi="Times New Roman" w:cs="Times New Roman"/>
          <w:szCs w:val="21"/>
        </w:rPr>
        <w:tab/>
        <w:t xml:space="preserve">Evans, W. E.; Relling, M. V. Pharmacogenomics: Translating Functional Genomics into Rational Therapeutics. </w:t>
      </w:r>
      <w:r w:rsidRPr="00DF3354">
        <w:rPr>
          <w:rFonts w:ascii="Times New Roman" w:hAnsi="Times New Roman" w:cs="Times New Roman"/>
          <w:i/>
          <w:iCs/>
          <w:szCs w:val="21"/>
        </w:rPr>
        <w:t>Science</w:t>
      </w:r>
      <w:r w:rsidRPr="00DF3354">
        <w:rPr>
          <w:rFonts w:ascii="Times New Roman" w:hAnsi="Times New Roman" w:cs="Times New Roman"/>
          <w:szCs w:val="21"/>
        </w:rPr>
        <w:t xml:space="preserve"> </w:t>
      </w:r>
      <w:r w:rsidRPr="00DF3354">
        <w:rPr>
          <w:rFonts w:ascii="Times New Roman" w:hAnsi="Times New Roman" w:cs="Times New Roman"/>
          <w:b/>
          <w:bCs/>
          <w:szCs w:val="21"/>
        </w:rPr>
        <w:t>1999</w:t>
      </w:r>
      <w:r w:rsidRPr="00DF3354">
        <w:rPr>
          <w:rFonts w:ascii="Times New Roman" w:hAnsi="Times New Roman" w:cs="Times New Roman"/>
          <w:szCs w:val="21"/>
        </w:rPr>
        <w:t xml:space="preserve">, </w:t>
      </w:r>
      <w:r w:rsidRPr="00DF3354">
        <w:rPr>
          <w:rFonts w:ascii="Times New Roman" w:hAnsi="Times New Roman" w:cs="Times New Roman"/>
          <w:i/>
          <w:iCs/>
          <w:szCs w:val="21"/>
        </w:rPr>
        <w:t>286</w:t>
      </w:r>
      <w:r w:rsidRPr="00DF3354">
        <w:rPr>
          <w:rFonts w:ascii="Times New Roman" w:hAnsi="Times New Roman" w:cs="Times New Roman"/>
          <w:szCs w:val="21"/>
        </w:rPr>
        <w:t xml:space="preserve"> (5439), 487–491.</w:t>
      </w:r>
    </w:p>
    <w:p w14:paraId="1E88D2A2" w14:textId="7536B600" w:rsidR="00A73246" w:rsidRPr="00DF3354" w:rsidRDefault="00A73246" w:rsidP="00A73246">
      <w:pPr>
        <w:pStyle w:val="af5"/>
        <w:spacing w:line="276" w:lineRule="auto"/>
        <w:rPr>
          <w:rFonts w:ascii="Times New Roman" w:hAnsi="Times New Roman" w:cs="Times New Roman"/>
          <w:szCs w:val="21"/>
        </w:rPr>
      </w:pPr>
      <w:r w:rsidRPr="00DF3354">
        <w:rPr>
          <w:rFonts w:ascii="Times New Roman" w:hAnsi="Times New Roman" w:cs="Times New Roman"/>
          <w:szCs w:val="21"/>
        </w:rPr>
        <w:t>(3)</w:t>
      </w:r>
      <w:r w:rsidRPr="00DF3354">
        <w:rPr>
          <w:rFonts w:ascii="Times New Roman" w:hAnsi="Times New Roman" w:cs="Times New Roman"/>
          <w:szCs w:val="21"/>
        </w:rPr>
        <w:tab/>
        <w:t xml:space="preserve">Guengerich, F. P. Cytochrome P450s and Other Enzymes in Drug Metabolism and Toxicity. </w:t>
      </w:r>
      <w:r w:rsidRPr="00DF3354">
        <w:rPr>
          <w:rFonts w:ascii="Times New Roman" w:hAnsi="Times New Roman" w:cs="Times New Roman"/>
          <w:i/>
          <w:iCs/>
          <w:szCs w:val="21"/>
        </w:rPr>
        <w:t>AAPS J</w:t>
      </w:r>
      <w:r w:rsidRPr="00DF3354">
        <w:rPr>
          <w:rFonts w:ascii="Times New Roman" w:hAnsi="Times New Roman" w:cs="Times New Roman"/>
          <w:szCs w:val="21"/>
        </w:rPr>
        <w:t xml:space="preserve"> </w:t>
      </w:r>
      <w:r w:rsidRPr="00DF3354">
        <w:rPr>
          <w:rFonts w:ascii="Times New Roman" w:hAnsi="Times New Roman" w:cs="Times New Roman"/>
          <w:b/>
          <w:bCs/>
          <w:szCs w:val="21"/>
        </w:rPr>
        <w:t>2006</w:t>
      </w:r>
      <w:r w:rsidRPr="00DF3354">
        <w:rPr>
          <w:rFonts w:ascii="Times New Roman" w:hAnsi="Times New Roman" w:cs="Times New Roman"/>
          <w:szCs w:val="21"/>
        </w:rPr>
        <w:t xml:space="preserve">, </w:t>
      </w:r>
      <w:r w:rsidRPr="00DF3354">
        <w:rPr>
          <w:rFonts w:ascii="Times New Roman" w:hAnsi="Times New Roman" w:cs="Times New Roman"/>
          <w:i/>
          <w:iCs/>
          <w:szCs w:val="21"/>
        </w:rPr>
        <w:t>8</w:t>
      </w:r>
      <w:r w:rsidRPr="00DF3354">
        <w:rPr>
          <w:rFonts w:ascii="Times New Roman" w:hAnsi="Times New Roman" w:cs="Times New Roman"/>
          <w:szCs w:val="21"/>
        </w:rPr>
        <w:t xml:space="preserve"> (1), E101–E111.</w:t>
      </w:r>
    </w:p>
    <w:p w14:paraId="020546CE" w14:textId="0EED7302" w:rsidR="00A73246" w:rsidRPr="00DF3354" w:rsidRDefault="00A73246" w:rsidP="00A73246">
      <w:pPr>
        <w:pStyle w:val="af5"/>
        <w:spacing w:line="276" w:lineRule="auto"/>
        <w:rPr>
          <w:rFonts w:ascii="Times New Roman" w:hAnsi="Times New Roman" w:cs="Times New Roman"/>
          <w:szCs w:val="21"/>
        </w:rPr>
      </w:pPr>
      <w:r w:rsidRPr="00DF3354">
        <w:rPr>
          <w:rFonts w:ascii="Times New Roman" w:hAnsi="Times New Roman" w:cs="Times New Roman"/>
          <w:szCs w:val="21"/>
        </w:rPr>
        <w:t>(4)</w:t>
      </w:r>
      <w:r w:rsidRPr="00DF3354">
        <w:rPr>
          <w:rFonts w:ascii="Times New Roman" w:hAnsi="Times New Roman" w:cs="Times New Roman"/>
          <w:szCs w:val="21"/>
        </w:rPr>
        <w:tab/>
        <w:t xml:space="preserve">Guengerich, F. P.; Shimada, T. Oxidation of Toxic and Carcinogenic Chemicals by Human Cytochrome P-450 Enzymes. </w:t>
      </w:r>
      <w:r w:rsidRPr="00DF3354">
        <w:rPr>
          <w:rFonts w:ascii="Times New Roman" w:hAnsi="Times New Roman" w:cs="Times New Roman"/>
          <w:i/>
          <w:iCs/>
          <w:szCs w:val="21"/>
        </w:rPr>
        <w:t>Chem. Res. Toxicol.</w:t>
      </w:r>
      <w:r w:rsidRPr="00DF3354">
        <w:rPr>
          <w:rFonts w:ascii="Times New Roman" w:hAnsi="Times New Roman" w:cs="Times New Roman"/>
          <w:szCs w:val="21"/>
        </w:rPr>
        <w:t xml:space="preserve"> </w:t>
      </w:r>
      <w:r w:rsidRPr="00DF3354">
        <w:rPr>
          <w:rFonts w:ascii="Times New Roman" w:hAnsi="Times New Roman" w:cs="Times New Roman"/>
          <w:b/>
          <w:bCs/>
          <w:szCs w:val="21"/>
        </w:rPr>
        <w:t>1991</w:t>
      </w:r>
      <w:r w:rsidRPr="00DF3354">
        <w:rPr>
          <w:rFonts w:ascii="Times New Roman" w:hAnsi="Times New Roman" w:cs="Times New Roman"/>
          <w:szCs w:val="21"/>
        </w:rPr>
        <w:t xml:space="preserve">, </w:t>
      </w:r>
      <w:r w:rsidRPr="00DF3354">
        <w:rPr>
          <w:rFonts w:ascii="Times New Roman" w:hAnsi="Times New Roman" w:cs="Times New Roman"/>
          <w:i/>
          <w:iCs/>
          <w:szCs w:val="21"/>
        </w:rPr>
        <w:t>4</w:t>
      </w:r>
      <w:r w:rsidRPr="00DF3354">
        <w:rPr>
          <w:rFonts w:ascii="Times New Roman" w:hAnsi="Times New Roman" w:cs="Times New Roman"/>
          <w:szCs w:val="21"/>
        </w:rPr>
        <w:t xml:space="preserve"> (4), 391–407.</w:t>
      </w:r>
    </w:p>
    <w:p w14:paraId="1F79F7EC" w14:textId="4661D477" w:rsidR="00A73246" w:rsidRPr="00DF3354" w:rsidRDefault="00A73246" w:rsidP="00A73246">
      <w:pPr>
        <w:pStyle w:val="af5"/>
        <w:spacing w:line="276" w:lineRule="auto"/>
        <w:rPr>
          <w:rFonts w:ascii="Times New Roman" w:hAnsi="Times New Roman" w:cs="Times New Roman"/>
          <w:szCs w:val="21"/>
        </w:rPr>
      </w:pPr>
      <w:r w:rsidRPr="00DF3354">
        <w:rPr>
          <w:rFonts w:ascii="Times New Roman" w:hAnsi="Times New Roman" w:cs="Times New Roman"/>
          <w:szCs w:val="21"/>
        </w:rPr>
        <w:t>(5)</w:t>
      </w:r>
      <w:r w:rsidRPr="00DF3354">
        <w:rPr>
          <w:rFonts w:ascii="Times New Roman" w:hAnsi="Times New Roman" w:cs="Times New Roman"/>
          <w:szCs w:val="21"/>
        </w:rPr>
        <w:tab/>
        <w:t xml:space="preserve">Basheer, L.; Kerem, Z. Interactions between CYP3A4 and Dietary Polyphenols. </w:t>
      </w:r>
      <w:r w:rsidRPr="00DF3354">
        <w:rPr>
          <w:rFonts w:ascii="Times New Roman" w:hAnsi="Times New Roman" w:cs="Times New Roman"/>
          <w:i/>
          <w:iCs/>
          <w:szCs w:val="21"/>
        </w:rPr>
        <w:t>Oxidative Medicine and Cellular Longevity</w:t>
      </w:r>
      <w:r w:rsidRPr="00DF3354">
        <w:rPr>
          <w:rFonts w:ascii="Times New Roman" w:hAnsi="Times New Roman" w:cs="Times New Roman"/>
          <w:szCs w:val="21"/>
        </w:rPr>
        <w:t xml:space="preserve"> </w:t>
      </w:r>
      <w:r w:rsidRPr="00DF3354">
        <w:rPr>
          <w:rFonts w:ascii="Times New Roman" w:hAnsi="Times New Roman" w:cs="Times New Roman"/>
          <w:b/>
          <w:bCs/>
          <w:szCs w:val="21"/>
        </w:rPr>
        <w:t>2015</w:t>
      </w:r>
      <w:r w:rsidRPr="00DF3354">
        <w:rPr>
          <w:rFonts w:ascii="Times New Roman" w:hAnsi="Times New Roman" w:cs="Times New Roman"/>
          <w:szCs w:val="21"/>
        </w:rPr>
        <w:t xml:space="preserve">, </w:t>
      </w:r>
      <w:r w:rsidRPr="00DF3354">
        <w:rPr>
          <w:rFonts w:ascii="Times New Roman" w:hAnsi="Times New Roman" w:cs="Times New Roman"/>
          <w:i/>
          <w:iCs/>
          <w:szCs w:val="21"/>
        </w:rPr>
        <w:t>2015</w:t>
      </w:r>
      <w:r w:rsidRPr="00DF3354">
        <w:rPr>
          <w:rFonts w:ascii="Times New Roman" w:hAnsi="Times New Roman" w:cs="Times New Roman"/>
          <w:szCs w:val="21"/>
        </w:rPr>
        <w:t>, e854015.</w:t>
      </w:r>
    </w:p>
    <w:p w14:paraId="2528DD39" w14:textId="7933453A" w:rsidR="00A73246" w:rsidRPr="00A73246" w:rsidRDefault="00A73246" w:rsidP="00A73246">
      <w:pPr>
        <w:pStyle w:val="af5"/>
        <w:spacing w:line="276" w:lineRule="auto"/>
        <w:rPr>
          <w:rFonts w:ascii="Times New Roman" w:hAnsi="Times New Roman" w:cs="Times New Roman"/>
          <w:szCs w:val="21"/>
        </w:rPr>
      </w:pPr>
      <w:r w:rsidRPr="00DF3354">
        <w:rPr>
          <w:rFonts w:ascii="Times New Roman" w:hAnsi="Times New Roman" w:cs="Times New Roman"/>
          <w:szCs w:val="21"/>
        </w:rPr>
        <w:t>(6)</w:t>
      </w:r>
      <w:r w:rsidRPr="00DF3354">
        <w:rPr>
          <w:rFonts w:ascii="Times New Roman" w:hAnsi="Times New Roman" w:cs="Times New Roman"/>
          <w:szCs w:val="21"/>
        </w:rPr>
        <w:tab/>
        <w:t>Choi, J.</w:t>
      </w:r>
      <w:r w:rsidR="00DF3354">
        <w:rPr>
          <w:rFonts w:ascii="Times New Roman" w:hAnsi="Times New Roman" w:cs="Times New Roman"/>
          <w:szCs w:val="21"/>
        </w:rPr>
        <w:t xml:space="preserve"> </w:t>
      </w:r>
      <w:r w:rsidRPr="00DF3354">
        <w:rPr>
          <w:rFonts w:ascii="Times New Roman" w:hAnsi="Times New Roman" w:cs="Times New Roman"/>
          <w:szCs w:val="21"/>
        </w:rPr>
        <w:t>S.; Piao, Y.</w:t>
      </w:r>
      <w:r w:rsidR="00DF3354">
        <w:rPr>
          <w:rFonts w:ascii="Times New Roman" w:hAnsi="Times New Roman" w:cs="Times New Roman"/>
          <w:szCs w:val="21"/>
        </w:rPr>
        <w:t xml:space="preserve"> </w:t>
      </w:r>
      <w:r w:rsidRPr="00DF3354">
        <w:rPr>
          <w:rFonts w:ascii="Times New Roman" w:hAnsi="Times New Roman" w:cs="Times New Roman"/>
          <w:szCs w:val="21"/>
        </w:rPr>
        <w:t>J.; Kang, K. W. Effects of Quercetin on the Bioavailability of Doxorubicin in Rats: Role of CYP3A4 and P-</w:t>
      </w:r>
      <w:r w:rsidR="00DF3354">
        <w:rPr>
          <w:rFonts w:ascii="Times New Roman" w:hAnsi="Times New Roman" w:cs="Times New Roman"/>
          <w:szCs w:val="21"/>
        </w:rPr>
        <w:t>g</w:t>
      </w:r>
      <w:r w:rsidRPr="00DF3354">
        <w:rPr>
          <w:rFonts w:ascii="Times New Roman" w:hAnsi="Times New Roman" w:cs="Times New Roman"/>
          <w:szCs w:val="21"/>
        </w:rPr>
        <w:t xml:space="preserve">p Inhibition by Quercetin. </w:t>
      </w:r>
      <w:r w:rsidRPr="00DF3354">
        <w:rPr>
          <w:rFonts w:ascii="Times New Roman" w:hAnsi="Times New Roman" w:cs="Times New Roman"/>
          <w:i/>
          <w:iCs/>
          <w:szCs w:val="21"/>
        </w:rPr>
        <w:t>Arch. Pharm. Res.</w:t>
      </w:r>
      <w:r w:rsidRPr="00DF3354">
        <w:rPr>
          <w:rFonts w:ascii="Times New Roman" w:hAnsi="Times New Roman" w:cs="Times New Roman"/>
          <w:szCs w:val="21"/>
        </w:rPr>
        <w:t xml:space="preserve"> </w:t>
      </w:r>
      <w:r w:rsidRPr="00DF3354">
        <w:rPr>
          <w:rFonts w:ascii="Times New Roman" w:hAnsi="Times New Roman" w:cs="Times New Roman"/>
          <w:b/>
          <w:bCs/>
          <w:szCs w:val="21"/>
        </w:rPr>
        <w:t>2011</w:t>
      </w:r>
      <w:r w:rsidRPr="00DF3354">
        <w:rPr>
          <w:rFonts w:ascii="Times New Roman" w:hAnsi="Times New Roman" w:cs="Times New Roman"/>
          <w:szCs w:val="21"/>
        </w:rPr>
        <w:t xml:space="preserve">, </w:t>
      </w:r>
      <w:r w:rsidRPr="00DF3354">
        <w:rPr>
          <w:rFonts w:ascii="Times New Roman" w:hAnsi="Times New Roman" w:cs="Times New Roman"/>
          <w:i/>
          <w:iCs/>
          <w:szCs w:val="21"/>
        </w:rPr>
        <w:t>34</w:t>
      </w:r>
      <w:r w:rsidRPr="00DF3354">
        <w:rPr>
          <w:rFonts w:ascii="Times New Roman" w:hAnsi="Times New Roman" w:cs="Times New Roman"/>
          <w:szCs w:val="21"/>
        </w:rPr>
        <w:t xml:space="preserve"> (4), 607–613.</w:t>
      </w:r>
    </w:p>
    <w:p w14:paraId="2BBB9EF0" w14:textId="2B268F5A"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(7)</w:t>
      </w:r>
      <w:r w:rsidRPr="00A73246">
        <w:rPr>
          <w:rFonts w:ascii="Times New Roman" w:hAnsi="Times New Roman" w:cs="Times New Roman"/>
          <w:szCs w:val="21"/>
        </w:rPr>
        <w:tab/>
        <w:t xml:space="preserve">Deodhar, M.; Al Rihani, S. B.; Arwood, M. J.; Darakjian, L.; Dow, P.; Turgeon, J.; Michaud, V. Mechanisms of CYP450 Inhibition: Understanding Drug-Drug Interactions Due to Mechanism-Based Inhibition in Clinical Practice. </w:t>
      </w:r>
      <w:r w:rsidRPr="00A73246">
        <w:rPr>
          <w:rFonts w:ascii="Times New Roman" w:hAnsi="Times New Roman" w:cs="Times New Roman"/>
          <w:i/>
          <w:iCs/>
          <w:szCs w:val="21"/>
        </w:rPr>
        <w:t>Pharmaceutics</w:t>
      </w:r>
      <w:r w:rsidRPr="00A73246">
        <w:rPr>
          <w:rFonts w:ascii="Times New Roman" w:hAnsi="Times New Roman" w:cs="Times New Roman"/>
          <w:szCs w:val="21"/>
        </w:rPr>
        <w:t xml:space="preserve"> </w:t>
      </w:r>
      <w:r w:rsidRPr="00A73246">
        <w:rPr>
          <w:rFonts w:ascii="Times New Roman" w:hAnsi="Times New Roman" w:cs="Times New Roman"/>
          <w:b/>
          <w:bCs/>
          <w:szCs w:val="21"/>
        </w:rPr>
        <w:t>2020</w:t>
      </w:r>
      <w:r w:rsidRPr="00A73246">
        <w:rPr>
          <w:rFonts w:ascii="Times New Roman" w:hAnsi="Times New Roman" w:cs="Times New Roman"/>
          <w:szCs w:val="21"/>
        </w:rPr>
        <w:t xml:space="preserve">, </w:t>
      </w:r>
      <w:r w:rsidRPr="00A73246">
        <w:rPr>
          <w:rFonts w:ascii="Times New Roman" w:hAnsi="Times New Roman" w:cs="Times New Roman"/>
          <w:i/>
          <w:iCs/>
          <w:szCs w:val="21"/>
        </w:rPr>
        <w:t>12</w:t>
      </w:r>
      <w:r w:rsidRPr="00A73246">
        <w:rPr>
          <w:rFonts w:ascii="Times New Roman" w:hAnsi="Times New Roman" w:cs="Times New Roman"/>
          <w:szCs w:val="21"/>
        </w:rPr>
        <w:t xml:space="preserve"> (9), 846.</w:t>
      </w:r>
    </w:p>
    <w:p w14:paraId="57CD1EC0" w14:textId="50AC540B"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(8)</w:t>
      </w:r>
      <w:r w:rsidRPr="00A73246">
        <w:rPr>
          <w:rFonts w:ascii="Times New Roman" w:hAnsi="Times New Roman" w:cs="Times New Roman"/>
          <w:szCs w:val="21"/>
        </w:rPr>
        <w:tab/>
        <w:t>Ge, G.</w:t>
      </w:r>
      <w:r w:rsidR="00DF3354">
        <w:rPr>
          <w:rFonts w:ascii="Times New Roman" w:hAnsi="Times New Roman" w:cs="Times New Roman"/>
          <w:szCs w:val="21"/>
        </w:rPr>
        <w:t xml:space="preserve"> </w:t>
      </w:r>
      <w:r w:rsidRPr="00A73246">
        <w:rPr>
          <w:rFonts w:ascii="Times New Roman" w:hAnsi="Times New Roman" w:cs="Times New Roman"/>
          <w:szCs w:val="21"/>
        </w:rPr>
        <w:t>B.; Ning, J.; Hu, L.</w:t>
      </w:r>
      <w:r w:rsidR="00DF3354">
        <w:rPr>
          <w:rFonts w:ascii="Times New Roman" w:hAnsi="Times New Roman" w:cs="Times New Roman"/>
          <w:szCs w:val="21"/>
        </w:rPr>
        <w:t xml:space="preserve"> </w:t>
      </w:r>
      <w:r w:rsidRPr="00A73246">
        <w:rPr>
          <w:rFonts w:ascii="Times New Roman" w:hAnsi="Times New Roman" w:cs="Times New Roman"/>
          <w:szCs w:val="21"/>
        </w:rPr>
        <w:t>H.; Dai, Z.</w:t>
      </w:r>
      <w:r w:rsidR="00DF3354">
        <w:rPr>
          <w:rFonts w:ascii="Times New Roman" w:hAnsi="Times New Roman" w:cs="Times New Roman"/>
          <w:szCs w:val="21"/>
        </w:rPr>
        <w:t xml:space="preserve"> </w:t>
      </w:r>
      <w:r w:rsidRPr="00A73246">
        <w:rPr>
          <w:rFonts w:ascii="Times New Roman" w:hAnsi="Times New Roman" w:cs="Times New Roman"/>
          <w:szCs w:val="21"/>
        </w:rPr>
        <w:t>R.; Hou, J.; Cao, Y.</w:t>
      </w:r>
      <w:r w:rsidR="00DF3354">
        <w:rPr>
          <w:rFonts w:ascii="Times New Roman" w:hAnsi="Times New Roman" w:cs="Times New Roman"/>
          <w:szCs w:val="21"/>
        </w:rPr>
        <w:t xml:space="preserve"> </w:t>
      </w:r>
      <w:r w:rsidRPr="00A73246">
        <w:rPr>
          <w:rFonts w:ascii="Times New Roman" w:hAnsi="Times New Roman" w:cs="Times New Roman"/>
          <w:szCs w:val="21"/>
        </w:rPr>
        <w:t>F.; Yu, Z.</w:t>
      </w:r>
      <w:r w:rsidR="00DF3354">
        <w:rPr>
          <w:rFonts w:ascii="Times New Roman" w:hAnsi="Times New Roman" w:cs="Times New Roman"/>
          <w:szCs w:val="21"/>
        </w:rPr>
        <w:t xml:space="preserve"> </w:t>
      </w:r>
      <w:r w:rsidRPr="00A73246">
        <w:rPr>
          <w:rFonts w:ascii="Times New Roman" w:hAnsi="Times New Roman" w:cs="Times New Roman"/>
          <w:szCs w:val="21"/>
        </w:rPr>
        <w:t>W.; Ai, C.</w:t>
      </w:r>
      <w:r w:rsidR="00DF3354">
        <w:rPr>
          <w:rFonts w:ascii="Times New Roman" w:hAnsi="Times New Roman" w:cs="Times New Roman"/>
          <w:szCs w:val="21"/>
        </w:rPr>
        <w:t xml:space="preserve"> </w:t>
      </w:r>
      <w:r w:rsidRPr="00A73246">
        <w:rPr>
          <w:rFonts w:ascii="Times New Roman" w:hAnsi="Times New Roman" w:cs="Times New Roman"/>
          <w:szCs w:val="21"/>
        </w:rPr>
        <w:t>Z.; Gu, J.</w:t>
      </w:r>
      <w:r w:rsidR="00DF3354">
        <w:rPr>
          <w:rFonts w:ascii="Times New Roman" w:hAnsi="Times New Roman" w:cs="Times New Roman"/>
          <w:szCs w:val="21"/>
        </w:rPr>
        <w:t xml:space="preserve"> </w:t>
      </w:r>
      <w:r w:rsidRPr="00A73246">
        <w:rPr>
          <w:rFonts w:ascii="Times New Roman" w:hAnsi="Times New Roman" w:cs="Times New Roman"/>
          <w:szCs w:val="21"/>
        </w:rPr>
        <w:t>K.; Ma, X.</w:t>
      </w:r>
      <w:r w:rsidR="00DF3354">
        <w:rPr>
          <w:rFonts w:ascii="Times New Roman" w:hAnsi="Times New Roman" w:cs="Times New Roman"/>
          <w:szCs w:val="21"/>
        </w:rPr>
        <w:t xml:space="preserve"> </w:t>
      </w:r>
      <w:r w:rsidRPr="00A73246">
        <w:rPr>
          <w:rFonts w:ascii="Times New Roman" w:hAnsi="Times New Roman" w:cs="Times New Roman"/>
          <w:szCs w:val="21"/>
        </w:rPr>
        <w:t xml:space="preserve">C.; Yang, L. A Highly Selective Probe for Human Cytochrome P450 3A4: Isoform Selectivity, Kinetic Characterization and Its Applications. </w:t>
      </w:r>
      <w:r w:rsidRPr="00A73246">
        <w:rPr>
          <w:rFonts w:ascii="Times New Roman" w:hAnsi="Times New Roman" w:cs="Times New Roman"/>
          <w:i/>
          <w:iCs/>
          <w:szCs w:val="21"/>
        </w:rPr>
        <w:t>Chem Commun (Camb)</w:t>
      </w:r>
      <w:r w:rsidRPr="00A73246">
        <w:rPr>
          <w:rFonts w:ascii="Times New Roman" w:hAnsi="Times New Roman" w:cs="Times New Roman"/>
          <w:szCs w:val="21"/>
        </w:rPr>
        <w:t xml:space="preserve"> </w:t>
      </w:r>
      <w:r w:rsidRPr="00A73246">
        <w:rPr>
          <w:rFonts w:ascii="Times New Roman" w:hAnsi="Times New Roman" w:cs="Times New Roman"/>
          <w:b/>
          <w:bCs/>
          <w:szCs w:val="21"/>
        </w:rPr>
        <w:t>2013</w:t>
      </w:r>
      <w:r w:rsidRPr="00A73246">
        <w:rPr>
          <w:rFonts w:ascii="Times New Roman" w:hAnsi="Times New Roman" w:cs="Times New Roman"/>
          <w:szCs w:val="21"/>
        </w:rPr>
        <w:t xml:space="preserve">, </w:t>
      </w:r>
      <w:r w:rsidRPr="00A73246">
        <w:rPr>
          <w:rFonts w:ascii="Times New Roman" w:hAnsi="Times New Roman" w:cs="Times New Roman"/>
          <w:i/>
          <w:iCs/>
          <w:szCs w:val="21"/>
        </w:rPr>
        <w:t>49</w:t>
      </w:r>
      <w:r w:rsidRPr="00A73246">
        <w:rPr>
          <w:rFonts w:ascii="Times New Roman" w:hAnsi="Times New Roman" w:cs="Times New Roman"/>
          <w:szCs w:val="21"/>
        </w:rPr>
        <w:t xml:space="preserve"> (84), 9779–9781.</w:t>
      </w:r>
    </w:p>
    <w:p w14:paraId="7321831D" w14:textId="70FF7CD4"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(9)</w:t>
      </w:r>
      <w:r w:rsidRPr="00A73246">
        <w:rPr>
          <w:rFonts w:ascii="Times New Roman" w:hAnsi="Times New Roman" w:cs="Times New Roman"/>
          <w:szCs w:val="21"/>
        </w:rPr>
        <w:tab/>
        <w:t>Qi, X.</w:t>
      </w:r>
      <w:r w:rsidR="00DF3354">
        <w:rPr>
          <w:rFonts w:ascii="Times New Roman" w:hAnsi="Times New Roman" w:cs="Times New Roman"/>
          <w:szCs w:val="21"/>
        </w:rPr>
        <w:t xml:space="preserve"> </w:t>
      </w:r>
      <w:r w:rsidRPr="00A73246">
        <w:rPr>
          <w:rFonts w:ascii="Times New Roman" w:hAnsi="Times New Roman" w:cs="Times New Roman"/>
          <w:szCs w:val="21"/>
        </w:rPr>
        <w:t>Y.; Liang, S.</w:t>
      </w:r>
      <w:r w:rsidR="00DF3354">
        <w:rPr>
          <w:rFonts w:ascii="Times New Roman" w:hAnsi="Times New Roman" w:cs="Times New Roman"/>
          <w:szCs w:val="21"/>
        </w:rPr>
        <w:t xml:space="preserve"> </w:t>
      </w:r>
      <w:r w:rsidRPr="00A73246">
        <w:rPr>
          <w:rFonts w:ascii="Times New Roman" w:hAnsi="Times New Roman" w:cs="Times New Roman"/>
          <w:szCs w:val="21"/>
        </w:rPr>
        <w:t>C.; Ge, G.</w:t>
      </w:r>
      <w:r w:rsidR="00DF3354">
        <w:rPr>
          <w:rFonts w:ascii="Times New Roman" w:hAnsi="Times New Roman" w:cs="Times New Roman"/>
          <w:szCs w:val="21"/>
        </w:rPr>
        <w:t xml:space="preserve"> </w:t>
      </w:r>
      <w:r w:rsidRPr="00A73246">
        <w:rPr>
          <w:rFonts w:ascii="Times New Roman" w:hAnsi="Times New Roman" w:cs="Times New Roman"/>
          <w:szCs w:val="21"/>
        </w:rPr>
        <w:t>B.; Liu, Y.; Dong, P.</w:t>
      </w:r>
      <w:r w:rsidR="00DF3354">
        <w:rPr>
          <w:rFonts w:ascii="Times New Roman" w:hAnsi="Times New Roman" w:cs="Times New Roman"/>
          <w:szCs w:val="21"/>
        </w:rPr>
        <w:t xml:space="preserve"> </w:t>
      </w:r>
      <w:r w:rsidRPr="00A73246">
        <w:rPr>
          <w:rFonts w:ascii="Times New Roman" w:hAnsi="Times New Roman" w:cs="Times New Roman"/>
          <w:szCs w:val="21"/>
        </w:rPr>
        <w:t>P.; Zhang, J.</w:t>
      </w:r>
      <w:r w:rsidR="00DF3354">
        <w:rPr>
          <w:rFonts w:ascii="Times New Roman" w:hAnsi="Times New Roman" w:cs="Times New Roman"/>
          <w:szCs w:val="21"/>
        </w:rPr>
        <w:t xml:space="preserve"> </w:t>
      </w:r>
      <w:r w:rsidRPr="00A73246">
        <w:rPr>
          <w:rFonts w:ascii="Times New Roman" w:hAnsi="Times New Roman" w:cs="Times New Roman"/>
          <w:szCs w:val="21"/>
        </w:rPr>
        <w:t>W.; Wang, A.</w:t>
      </w:r>
      <w:r w:rsidR="00DF3354">
        <w:rPr>
          <w:rFonts w:ascii="Times New Roman" w:hAnsi="Times New Roman" w:cs="Times New Roman"/>
          <w:szCs w:val="21"/>
        </w:rPr>
        <w:t xml:space="preserve"> </w:t>
      </w:r>
      <w:r w:rsidRPr="00A73246">
        <w:rPr>
          <w:rFonts w:ascii="Times New Roman" w:hAnsi="Times New Roman" w:cs="Times New Roman"/>
          <w:szCs w:val="21"/>
        </w:rPr>
        <w:t>X.; Hou, J.; Zhu, L.</w:t>
      </w:r>
      <w:r w:rsidR="00DF3354">
        <w:rPr>
          <w:rFonts w:ascii="Times New Roman" w:hAnsi="Times New Roman" w:cs="Times New Roman"/>
          <w:szCs w:val="21"/>
        </w:rPr>
        <w:t xml:space="preserve"> </w:t>
      </w:r>
      <w:r w:rsidRPr="00A73246">
        <w:rPr>
          <w:rFonts w:ascii="Times New Roman" w:hAnsi="Times New Roman" w:cs="Times New Roman"/>
          <w:szCs w:val="21"/>
        </w:rPr>
        <w:t>L.; Yang, L.; Tu, C.</w:t>
      </w:r>
      <w:r w:rsidR="00DF3354">
        <w:rPr>
          <w:rFonts w:ascii="Times New Roman" w:hAnsi="Times New Roman" w:cs="Times New Roman"/>
          <w:szCs w:val="21"/>
        </w:rPr>
        <w:t xml:space="preserve"> </w:t>
      </w:r>
      <w:r w:rsidRPr="00A73246">
        <w:rPr>
          <w:rFonts w:ascii="Times New Roman" w:hAnsi="Times New Roman" w:cs="Times New Roman"/>
          <w:szCs w:val="21"/>
        </w:rPr>
        <w:t xml:space="preserve">X. Inhibitory Effects of Sanguinarine on Human Liver Cytochrome P450 Enzymes. </w:t>
      </w:r>
      <w:r w:rsidRPr="00A73246">
        <w:rPr>
          <w:rFonts w:ascii="Times New Roman" w:hAnsi="Times New Roman" w:cs="Times New Roman"/>
          <w:i/>
          <w:iCs/>
          <w:szCs w:val="21"/>
        </w:rPr>
        <w:t>Food Chem Toxicol</w:t>
      </w:r>
      <w:r w:rsidRPr="00A73246">
        <w:rPr>
          <w:rFonts w:ascii="Times New Roman" w:hAnsi="Times New Roman" w:cs="Times New Roman"/>
          <w:szCs w:val="21"/>
        </w:rPr>
        <w:t xml:space="preserve"> </w:t>
      </w:r>
      <w:r w:rsidRPr="00A73246">
        <w:rPr>
          <w:rFonts w:ascii="Times New Roman" w:hAnsi="Times New Roman" w:cs="Times New Roman"/>
          <w:b/>
          <w:bCs/>
          <w:szCs w:val="21"/>
        </w:rPr>
        <w:t>2013</w:t>
      </w:r>
      <w:r w:rsidRPr="00A73246">
        <w:rPr>
          <w:rFonts w:ascii="Times New Roman" w:hAnsi="Times New Roman" w:cs="Times New Roman"/>
          <w:szCs w:val="21"/>
        </w:rPr>
        <w:t xml:space="preserve">, </w:t>
      </w:r>
      <w:r w:rsidRPr="00A73246">
        <w:rPr>
          <w:rFonts w:ascii="Times New Roman" w:hAnsi="Times New Roman" w:cs="Times New Roman"/>
          <w:i/>
          <w:iCs/>
          <w:szCs w:val="21"/>
        </w:rPr>
        <w:t>56</w:t>
      </w:r>
      <w:r w:rsidRPr="00A73246">
        <w:rPr>
          <w:rFonts w:ascii="Times New Roman" w:hAnsi="Times New Roman" w:cs="Times New Roman"/>
          <w:szCs w:val="21"/>
        </w:rPr>
        <w:t>, 392–397.</w:t>
      </w:r>
    </w:p>
    <w:p w14:paraId="67AFE7CB" w14:textId="4E3B3BFD"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(10)</w:t>
      </w:r>
      <w:r w:rsidRPr="00A73246">
        <w:rPr>
          <w:rFonts w:ascii="Times New Roman" w:hAnsi="Times New Roman" w:cs="Times New Roman"/>
          <w:szCs w:val="21"/>
        </w:rPr>
        <w:tab/>
        <w:t>He, R.</w:t>
      </w:r>
      <w:r w:rsidR="00DF3354">
        <w:rPr>
          <w:rFonts w:ascii="Times New Roman" w:hAnsi="Times New Roman" w:cs="Times New Roman"/>
          <w:szCs w:val="21"/>
        </w:rPr>
        <w:t xml:space="preserve"> </w:t>
      </w:r>
      <w:r w:rsidRPr="00A73246">
        <w:rPr>
          <w:rFonts w:ascii="Times New Roman" w:hAnsi="Times New Roman" w:cs="Times New Roman"/>
          <w:szCs w:val="21"/>
        </w:rPr>
        <w:t>J.; Tian, Z.</w:t>
      </w:r>
      <w:r w:rsidR="00DF3354">
        <w:rPr>
          <w:rFonts w:ascii="Times New Roman" w:hAnsi="Times New Roman" w:cs="Times New Roman"/>
          <w:szCs w:val="21"/>
        </w:rPr>
        <w:t xml:space="preserve"> </w:t>
      </w:r>
      <w:r w:rsidRPr="00A73246">
        <w:rPr>
          <w:rFonts w:ascii="Times New Roman" w:hAnsi="Times New Roman" w:cs="Times New Roman"/>
          <w:szCs w:val="21"/>
        </w:rPr>
        <w:t>H.; Huang, J.; Sun, M.</w:t>
      </w:r>
      <w:r w:rsidR="00DF3354">
        <w:rPr>
          <w:rFonts w:ascii="Times New Roman" w:hAnsi="Times New Roman" w:cs="Times New Roman"/>
          <w:szCs w:val="21"/>
        </w:rPr>
        <w:t xml:space="preserve"> </w:t>
      </w:r>
      <w:r w:rsidRPr="00A73246">
        <w:rPr>
          <w:rFonts w:ascii="Times New Roman" w:hAnsi="Times New Roman" w:cs="Times New Roman"/>
          <w:szCs w:val="21"/>
        </w:rPr>
        <w:t>R.; Wei, F.; Li, C.</w:t>
      </w:r>
      <w:r w:rsidR="00DF3354">
        <w:rPr>
          <w:rFonts w:ascii="Times New Roman" w:hAnsi="Times New Roman" w:cs="Times New Roman"/>
          <w:szCs w:val="21"/>
        </w:rPr>
        <w:t xml:space="preserve"> </w:t>
      </w:r>
      <w:r w:rsidRPr="00A73246">
        <w:rPr>
          <w:rFonts w:ascii="Times New Roman" w:hAnsi="Times New Roman" w:cs="Times New Roman"/>
          <w:szCs w:val="21"/>
        </w:rPr>
        <w:t>Y.; Zeng, H.</w:t>
      </w:r>
      <w:r w:rsidR="00DF3354">
        <w:rPr>
          <w:rFonts w:ascii="Times New Roman" w:hAnsi="Times New Roman" w:cs="Times New Roman"/>
          <w:szCs w:val="21"/>
        </w:rPr>
        <w:t xml:space="preserve"> </w:t>
      </w:r>
      <w:r w:rsidRPr="00A73246">
        <w:rPr>
          <w:rFonts w:ascii="Times New Roman" w:hAnsi="Times New Roman" w:cs="Times New Roman"/>
          <w:szCs w:val="21"/>
        </w:rPr>
        <w:t>R.; Zhang, F.; Guan, X.</w:t>
      </w:r>
      <w:r w:rsidR="00DF3354">
        <w:rPr>
          <w:rFonts w:ascii="Times New Roman" w:hAnsi="Times New Roman" w:cs="Times New Roman"/>
          <w:szCs w:val="21"/>
        </w:rPr>
        <w:t xml:space="preserve"> </w:t>
      </w:r>
      <w:r w:rsidRPr="00A73246">
        <w:rPr>
          <w:rFonts w:ascii="Times New Roman" w:hAnsi="Times New Roman" w:cs="Times New Roman"/>
          <w:szCs w:val="21"/>
        </w:rPr>
        <w:t>Q.; Feng, Y.; Meng, X.</w:t>
      </w:r>
      <w:r w:rsidR="00DF3354">
        <w:rPr>
          <w:rFonts w:ascii="Times New Roman" w:hAnsi="Times New Roman" w:cs="Times New Roman"/>
          <w:szCs w:val="21"/>
        </w:rPr>
        <w:t xml:space="preserve"> </w:t>
      </w:r>
      <w:r w:rsidRPr="00A73246">
        <w:rPr>
          <w:rFonts w:ascii="Times New Roman" w:hAnsi="Times New Roman" w:cs="Times New Roman"/>
          <w:szCs w:val="21"/>
        </w:rPr>
        <w:t>M.; Yang, H.; Ge, G.</w:t>
      </w:r>
      <w:r w:rsidR="00DF3354">
        <w:rPr>
          <w:rFonts w:ascii="Times New Roman" w:hAnsi="Times New Roman" w:cs="Times New Roman"/>
          <w:szCs w:val="21"/>
        </w:rPr>
        <w:t xml:space="preserve"> </w:t>
      </w:r>
      <w:r w:rsidRPr="00A73246">
        <w:rPr>
          <w:rFonts w:ascii="Times New Roman" w:hAnsi="Times New Roman" w:cs="Times New Roman"/>
          <w:szCs w:val="21"/>
        </w:rPr>
        <w:t xml:space="preserve">B. Rationally Engineered CYP3A4 Fluorogenic Substrates for Functional Imaging Analysis and Drug-Drug Interaction Studies. </w:t>
      </w:r>
      <w:r w:rsidRPr="00A73246">
        <w:rPr>
          <w:rFonts w:ascii="Times New Roman" w:hAnsi="Times New Roman" w:cs="Times New Roman"/>
          <w:i/>
          <w:iCs/>
          <w:szCs w:val="21"/>
        </w:rPr>
        <w:t>J Med Chem</w:t>
      </w:r>
      <w:r w:rsidRPr="00A73246">
        <w:rPr>
          <w:rFonts w:ascii="Times New Roman" w:hAnsi="Times New Roman" w:cs="Times New Roman"/>
          <w:szCs w:val="21"/>
        </w:rPr>
        <w:t xml:space="preserve"> </w:t>
      </w:r>
      <w:r w:rsidRPr="00A73246">
        <w:rPr>
          <w:rFonts w:ascii="Times New Roman" w:hAnsi="Times New Roman" w:cs="Times New Roman"/>
          <w:b/>
          <w:bCs/>
          <w:szCs w:val="21"/>
        </w:rPr>
        <w:t>2023</w:t>
      </w:r>
      <w:r w:rsidRPr="00A73246">
        <w:rPr>
          <w:rFonts w:ascii="Times New Roman" w:hAnsi="Times New Roman" w:cs="Times New Roman"/>
          <w:szCs w:val="21"/>
        </w:rPr>
        <w:t xml:space="preserve">, </w:t>
      </w:r>
      <w:r w:rsidRPr="00A73246">
        <w:rPr>
          <w:rFonts w:ascii="Times New Roman" w:hAnsi="Times New Roman" w:cs="Times New Roman"/>
          <w:i/>
          <w:iCs/>
          <w:szCs w:val="21"/>
        </w:rPr>
        <w:t>66</w:t>
      </w:r>
      <w:r w:rsidRPr="00A73246">
        <w:rPr>
          <w:rFonts w:ascii="Times New Roman" w:hAnsi="Times New Roman" w:cs="Times New Roman"/>
          <w:szCs w:val="21"/>
        </w:rPr>
        <w:t xml:space="preserve"> (10), 6743–6755.</w:t>
      </w:r>
    </w:p>
    <w:p w14:paraId="625C451D" w14:textId="5179384B"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(11)</w:t>
      </w:r>
      <w:r w:rsidRPr="00A73246">
        <w:rPr>
          <w:rFonts w:ascii="Times New Roman" w:hAnsi="Times New Roman" w:cs="Times New Roman"/>
          <w:szCs w:val="21"/>
        </w:rPr>
        <w:tab/>
        <w:t xml:space="preserve">Sliwoski, G.; Kothiwale, S.; Meiler, J.; Lowe, E. W. Computational Methods in Drug Discovery. </w:t>
      </w:r>
      <w:r w:rsidRPr="00A73246">
        <w:rPr>
          <w:rFonts w:ascii="Times New Roman" w:hAnsi="Times New Roman" w:cs="Times New Roman"/>
          <w:i/>
          <w:iCs/>
          <w:szCs w:val="21"/>
        </w:rPr>
        <w:t>Pharmacol Rev</w:t>
      </w:r>
      <w:r w:rsidRPr="00A73246">
        <w:rPr>
          <w:rFonts w:ascii="Times New Roman" w:hAnsi="Times New Roman" w:cs="Times New Roman"/>
          <w:szCs w:val="21"/>
        </w:rPr>
        <w:t xml:space="preserve"> </w:t>
      </w:r>
      <w:r w:rsidRPr="00A73246">
        <w:rPr>
          <w:rFonts w:ascii="Times New Roman" w:hAnsi="Times New Roman" w:cs="Times New Roman"/>
          <w:b/>
          <w:bCs/>
          <w:szCs w:val="21"/>
        </w:rPr>
        <w:t>2014</w:t>
      </w:r>
      <w:r w:rsidRPr="00A73246">
        <w:rPr>
          <w:rFonts w:ascii="Times New Roman" w:hAnsi="Times New Roman" w:cs="Times New Roman"/>
          <w:szCs w:val="21"/>
        </w:rPr>
        <w:t xml:space="preserve">, </w:t>
      </w:r>
      <w:r w:rsidRPr="00A73246">
        <w:rPr>
          <w:rFonts w:ascii="Times New Roman" w:hAnsi="Times New Roman" w:cs="Times New Roman"/>
          <w:i/>
          <w:iCs/>
          <w:szCs w:val="21"/>
        </w:rPr>
        <w:t>66</w:t>
      </w:r>
      <w:r w:rsidRPr="00A73246">
        <w:rPr>
          <w:rFonts w:ascii="Times New Roman" w:hAnsi="Times New Roman" w:cs="Times New Roman"/>
          <w:szCs w:val="21"/>
        </w:rPr>
        <w:t xml:space="preserve"> (1), 334–395.</w:t>
      </w:r>
    </w:p>
    <w:p w14:paraId="08D458BC" w14:textId="48B62266"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lastRenderedPageBreak/>
        <w:t>(12)</w:t>
      </w:r>
      <w:r w:rsidRPr="00A73246">
        <w:rPr>
          <w:rFonts w:ascii="Times New Roman" w:hAnsi="Times New Roman" w:cs="Times New Roman"/>
          <w:szCs w:val="21"/>
        </w:rPr>
        <w:tab/>
        <w:t>Ekroos, M.; Sjögren, T. Structural Basis for Ligand Promiscuity in Cytochrome P450 3A4.</w:t>
      </w:r>
      <w:r w:rsidR="006F3069">
        <w:rPr>
          <w:rFonts w:ascii="Times New Roman" w:hAnsi="Times New Roman" w:cs="Times New Roman"/>
          <w:szCs w:val="21"/>
        </w:rPr>
        <w:t xml:space="preserve"> In </w:t>
      </w:r>
      <w:r w:rsidRPr="00A73246">
        <w:rPr>
          <w:rFonts w:ascii="Times New Roman" w:hAnsi="Times New Roman" w:cs="Times New Roman"/>
          <w:i/>
          <w:iCs/>
          <w:szCs w:val="21"/>
        </w:rPr>
        <w:t>Proceedings of the National Academy of Sciences</w:t>
      </w:r>
      <w:r w:rsidRPr="00A73246">
        <w:rPr>
          <w:rFonts w:ascii="Times New Roman" w:hAnsi="Times New Roman" w:cs="Times New Roman"/>
          <w:szCs w:val="21"/>
        </w:rPr>
        <w:t xml:space="preserve"> </w:t>
      </w:r>
      <w:r w:rsidRPr="00A73246">
        <w:rPr>
          <w:rFonts w:ascii="Times New Roman" w:hAnsi="Times New Roman" w:cs="Times New Roman"/>
          <w:b/>
          <w:bCs/>
          <w:szCs w:val="21"/>
        </w:rPr>
        <w:t>2006</w:t>
      </w:r>
      <w:r w:rsidRPr="00A73246">
        <w:rPr>
          <w:rFonts w:ascii="Times New Roman" w:hAnsi="Times New Roman" w:cs="Times New Roman"/>
          <w:szCs w:val="21"/>
        </w:rPr>
        <w:t xml:space="preserve">, </w:t>
      </w:r>
      <w:r w:rsidRPr="00A73246">
        <w:rPr>
          <w:rFonts w:ascii="Times New Roman" w:hAnsi="Times New Roman" w:cs="Times New Roman"/>
          <w:i/>
          <w:iCs/>
          <w:szCs w:val="21"/>
        </w:rPr>
        <w:t>103</w:t>
      </w:r>
      <w:r w:rsidRPr="00A73246">
        <w:rPr>
          <w:rFonts w:ascii="Times New Roman" w:hAnsi="Times New Roman" w:cs="Times New Roman"/>
          <w:szCs w:val="21"/>
        </w:rPr>
        <w:t xml:space="preserve"> (37), </w:t>
      </w:r>
      <w:r w:rsidR="006F3069">
        <w:rPr>
          <w:rFonts w:ascii="Times New Roman" w:hAnsi="Times New Roman" w:cs="Times New Roman"/>
          <w:szCs w:val="21"/>
        </w:rPr>
        <w:t xml:space="preserve">pp. </w:t>
      </w:r>
      <w:r w:rsidRPr="00A73246">
        <w:rPr>
          <w:rFonts w:ascii="Times New Roman" w:hAnsi="Times New Roman" w:cs="Times New Roman"/>
          <w:szCs w:val="21"/>
        </w:rPr>
        <w:t>13682–13687.</w:t>
      </w:r>
    </w:p>
    <w:p w14:paraId="555CC6B0" w14:textId="460FC188"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(13)</w:t>
      </w:r>
      <w:r w:rsidRPr="00A73246">
        <w:rPr>
          <w:rFonts w:ascii="Times New Roman" w:hAnsi="Times New Roman" w:cs="Times New Roman"/>
          <w:szCs w:val="21"/>
        </w:rPr>
        <w:tab/>
        <w:t xml:space="preserve">Scott, E. E.; Halpert, J. R. Structures of Cytochrome P450 3A4. </w:t>
      </w:r>
      <w:r w:rsidRPr="00A73246">
        <w:rPr>
          <w:rFonts w:ascii="Times New Roman" w:hAnsi="Times New Roman" w:cs="Times New Roman"/>
          <w:i/>
          <w:iCs/>
          <w:szCs w:val="21"/>
        </w:rPr>
        <w:t>Trends Biochem Sci</w:t>
      </w:r>
      <w:r w:rsidRPr="00A73246">
        <w:rPr>
          <w:rFonts w:ascii="Times New Roman" w:hAnsi="Times New Roman" w:cs="Times New Roman"/>
          <w:szCs w:val="21"/>
        </w:rPr>
        <w:t xml:space="preserve"> </w:t>
      </w:r>
      <w:r w:rsidRPr="00A73246">
        <w:rPr>
          <w:rFonts w:ascii="Times New Roman" w:hAnsi="Times New Roman" w:cs="Times New Roman"/>
          <w:b/>
          <w:bCs/>
          <w:szCs w:val="21"/>
        </w:rPr>
        <w:t>2005</w:t>
      </w:r>
      <w:r w:rsidRPr="00A73246">
        <w:rPr>
          <w:rFonts w:ascii="Times New Roman" w:hAnsi="Times New Roman" w:cs="Times New Roman"/>
          <w:szCs w:val="21"/>
        </w:rPr>
        <w:t xml:space="preserve">, </w:t>
      </w:r>
      <w:r w:rsidRPr="00A73246">
        <w:rPr>
          <w:rFonts w:ascii="Times New Roman" w:hAnsi="Times New Roman" w:cs="Times New Roman"/>
          <w:i/>
          <w:iCs/>
          <w:szCs w:val="21"/>
        </w:rPr>
        <w:t>30</w:t>
      </w:r>
      <w:r w:rsidRPr="00A73246">
        <w:rPr>
          <w:rFonts w:ascii="Times New Roman" w:hAnsi="Times New Roman" w:cs="Times New Roman"/>
          <w:szCs w:val="21"/>
        </w:rPr>
        <w:t xml:space="preserve"> (1), 5–7.</w:t>
      </w:r>
    </w:p>
    <w:p w14:paraId="633F3616" w14:textId="6580685A"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(14)</w:t>
      </w:r>
      <w:r w:rsidRPr="00A73246">
        <w:rPr>
          <w:rFonts w:ascii="Times New Roman" w:hAnsi="Times New Roman" w:cs="Times New Roman"/>
          <w:szCs w:val="21"/>
        </w:rPr>
        <w:tab/>
        <w:t xml:space="preserve">Sun, H.; Veith, H.; Xia, M.; Austin, C. P.; Huang, R. Predictive Models for Cytochrome P450 Isozymes Based on Quantitative High Throughput Screening Data. </w:t>
      </w:r>
      <w:r w:rsidRPr="00A73246">
        <w:rPr>
          <w:rFonts w:ascii="Times New Roman" w:hAnsi="Times New Roman" w:cs="Times New Roman"/>
          <w:i/>
          <w:iCs/>
          <w:szCs w:val="21"/>
        </w:rPr>
        <w:t>J Chem Inf Model</w:t>
      </w:r>
      <w:r w:rsidRPr="00A73246">
        <w:rPr>
          <w:rFonts w:ascii="Times New Roman" w:hAnsi="Times New Roman" w:cs="Times New Roman"/>
          <w:szCs w:val="21"/>
        </w:rPr>
        <w:t xml:space="preserve"> </w:t>
      </w:r>
      <w:r w:rsidRPr="00A73246">
        <w:rPr>
          <w:rFonts w:ascii="Times New Roman" w:hAnsi="Times New Roman" w:cs="Times New Roman"/>
          <w:b/>
          <w:bCs/>
          <w:szCs w:val="21"/>
        </w:rPr>
        <w:t>2011</w:t>
      </w:r>
      <w:r w:rsidRPr="00A73246">
        <w:rPr>
          <w:rFonts w:ascii="Times New Roman" w:hAnsi="Times New Roman" w:cs="Times New Roman"/>
          <w:szCs w:val="21"/>
        </w:rPr>
        <w:t xml:space="preserve">, </w:t>
      </w:r>
      <w:r w:rsidRPr="00A73246">
        <w:rPr>
          <w:rFonts w:ascii="Times New Roman" w:hAnsi="Times New Roman" w:cs="Times New Roman"/>
          <w:i/>
          <w:iCs/>
          <w:szCs w:val="21"/>
        </w:rPr>
        <w:t>51</w:t>
      </w:r>
      <w:r w:rsidRPr="00A73246">
        <w:rPr>
          <w:rFonts w:ascii="Times New Roman" w:hAnsi="Times New Roman" w:cs="Times New Roman"/>
          <w:szCs w:val="21"/>
        </w:rPr>
        <w:t xml:space="preserve"> (10), 2474–2481.</w:t>
      </w:r>
    </w:p>
    <w:p w14:paraId="0B0AD644" w14:textId="0A303EC2"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(15)</w:t>
      </w:r>
      <w:r w:rsidRPr="00A73246">
        <w:rPr>
          <w:rFonts w:ascii="Times New Roman" w:hAnsi="Times New Roman" w:cs="Times New Roman"/>
          <w:szCs w:val="21"/>
        </w:rPr>
        <w:tab/>
        <w:t xml:space="preserve">Plonka, W.; Stork, C.; Šícho, M.; Kirchmair, J. CYPlebrity: Machine Learning Models for the Prediction of Inhibitors of Cytochrome P450 Enzymes. </w:t>
      </w:r>
      <w:r w:rsidRPr="00A73246">
        <w:rPr>
          <w:rFonts w:ascii="Times New Roman" w:hAnsi="Times New Roman" w:cs="Times New Roman"/>
          <w:i/>
          <w:iCs/>
          <w:szCs w:val="21"/>
        </w:rPr>
        <w:t>Bioorganic &amp; Medicinal Chemistry</w:t>
      </w:r>
      <w:r w:rsidRPr="00A73246">
        <w:rPr>
          <w:rFonts w:ascii="Times New Roman" w:hAnsi="Times New Roman" w:cs="Times New Roman"/>
          <w:szCs w:val="21"/>
        </w:rPr>
        <w:t xml:space="preserve"> </w:t>
      </w:r>
      <w:r w:rsidRPr="00A73246">
        <w:rPr>
          <w:rFonts w:ascii="Times New Roman" w:hAnsi="Times New Roman" w:cs="Times New Roman"/>
          <w:b/>
          <w:bCs/>
          <w:szCs w:val="21"/>
        </w:rPr>
        <w:t>2021</w:t>
      </w:r>
      <w:r w:rsidRPr="00A73246">
        <w:rPr>
          <w:rFonts w:ascii="Times New Roman" w:hAnsi="Times New Roman" w:cs="Times New Roman"/>
          <w:szCs w:val="21"/>
        </w:rPr>
        <w:t xml:space="preserve">, </w:t>
      </w:r>
      <w:r w:rsidRPr="00A73246">
        <w:rPr>
          <w:rFonts w:ascii="Times New Roman" w:hAnsi="Times New Roman" w:cs="Times New Roman"/>
          <w:i/>
          <w:iCs/>
          <w:szCs w:val="21"/>
        </w:rPr>
        <w:t>46</w:t>
      </w:r>
      <w:r w:rsidRPr="00A73246">
        <w:rPr>
          <w:rFonts w:ascii="Times New Roman" w:hAnsi="Times New Roman" w:cs="Times New Roman"/>
          <w:szCs w:val="21"/>
        </w:rPr>
        <w:t>, 116388.</w:t>
      </w:r>
    </w:p>
    <w:p w14:paraId="39CAB43D" w14:textId="77E447D4"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(16)</w:t>
      </w:r>
      <w:r w:rsidRPr="00A73246">
        <w:rPr>
          <w:rFonts w:ascii="Times New Roman" w:hAnsi="Times New Roman" w:cs="Times New Roman"/>
          <w:szCs w:val="21"/>
        </w:rPr>
        <w:tab/>
        <w:t xml:space="preserve">Beck, T. C.; Beck, K. R.; Morningstar, J.; Benjamin, M. M.; Norris, R. A. Descriptors of Cytochrome Inhibitors and Useful Machine Learning Based Methods for the Design of Safer Drugs. </w:t>
      </w:r>
      <w:r w:rsidRPr="00A73246">
        <w:rPr>
          <w:rFonts w:ascii="Times New Roman" w:hAnsi="Times New Roman" w:cs="Times New Roman"/>
          <w:i/>
          <w:iCs/>
          <w:szCs w:val="21"/>
        </w:rPr>
        <w:t>Pharmaceuticals</w:t>
      </w:r>
      <w:r w:rsidRPr="00A73246">
        <w:rPr>
          <w:rFonts w:ascii="Times New Roman" w:hAnsi="Times New Roman" w:cs="Times New Roman"/>
          <w:szCs w:val="21"/>
        </w:rPr>
        <w:t xml:space="preserve"> </w:t>
      </w:r>
      <w:r w:rsidRPr="00A73246">
        <w:rPr>
          <w:rFonts w:ascii="Times New Roman" w:hAnsi="Times New Roman" w:cs="Times New Roman"/>
          <w:b/>
          <w:bCs/>
          <w:szCs w:val="21"/>
        </w:rPr>
        <w:t>2021</w:t>
      </w:r>
      <w:r w:rsidRPr="00A73246">
        <w:rPr>
          <w:rFonts w:ascii="Times New Roman" w:hAnsi="Times New Roman" w:cs="Times New Roman"/>
          <w:szCs w:val="21"/>
        </w:rPr>
        <w:t xml:space="preserve">, </w:t>
      </w:r>
      <w:r w:rsidRPr="00A73246">
        <w:rPr>
          <w:rFonts w:ascii="Times New Roman" w:hAnsi="Times New Roman" w:cs="Times New Roman"/>
          <w:i/>
          <w:iCs/>
          <w:szCs w:val="21"/>
        </w:rPr>
        <w:t>14</w:t>
      </w:r>
      <w:r w:rsidRPr="00A73246">
        <w:rPr>
          <w:rFonts w:ascii="Times New Roman" w:hAnsi="Times New Roman" w:cs="Times New Roman"/>
          <w:szCs w:val="21"/>
        </w:rPr>
        <w:t xml:space="preserve"> (5), 472.</w:t>
      </w:r>
    </w:p>
    <w:p w14:paraId="30715137" w14:textId="7553D69A"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(17)</w:t>
      </w:r>
      <w:r w:rsidRPr="00A73246">
        <w:rPr>
          <w:rFonts w:ascii="Times New Roman" w:hAnsi="Times New Roman" w:cs="Times New Roman"/>
          <w:szCs w:val="21"/>
        </w:rPr>
        <w:tab/>
        <w:t xml:space="preserve">Silva, F.; Varlamova, E.; Braga, R.; Andrade, C. Development of QSAR Models for Identification of CYP3A4 Substrates and Inhibitors. In </w:t>
      </w:r>
      <w:r w:rsidRPr="00A73246">
        <w:rPr>
          <w:rFonts w:ascii="Times New Roman" w:hAnsi="Times New Roman" w:cs="Times New Roman"/>
          <w:i/>
          <w:iCs/>
          <w:szCs w:val="21"/>
        </w:rPr>
        <w:t>Proceedings of MOL2NET, International Conference on Multidisciplinary Sciences</w:t>
      </w:r>
      <w:r w:rsidRPr="00A73246">
        <w:rPr>
          <w:rFonts w:ascii="Times New Roman" w:hAnsi="Times New Roman" w:cs="Times New Roman"/>
          <w:szCs w:val="21"/>
        </w:rPr>
        <w:t xml:space="preserve">; MDPI: Sciforum.net, </w:t>
      </w:r>
      <w:r w:rsidRPr="006F3069">
        <w:rPr>
          <w:rFonts w:ascii="Times New Roman" w:hAnsi="Times New Roman" w:cs="Times New Roman"/>
          <w:b/>
          <w:bCs/>
          <w:szCs w:val="21"/>
        </w:rPr>
        <w:t>2015</w:t>
      </w:r>
      <w:r w:rsidRPr="00A73246">
        <w:rPr>
          <w:rFonts w:ascii="Times New Roman" w:hAnsi="Times New Roman" w:cs="Times New Roman"/>
          <w:szCs w:val="21"/>
        </w:rPr>
        <w:t>; p</w:t>
      </w:r>
      <w:r w:rsidR="006F3069">
        <w:rPr>
          <w:rFonts w:ascii="Times New Roman" w:hAnsi="Times New Roman" w:cs="Times New Roman"/>
          <w:szCs w:val="21"/>
        </w:rPr>
        <w:t xml:space="preserve">p. </w:t>
      </w:r>
      <w:r w:rsidRPr="00A73246">
        <w:rPr>
          <w:rFonts w:ascii="Times New Roman" w:hAnsi="Times New Roman" w:cs="Times New Roman"/>
          <w:szCs w:val="21"/>
        </w:rPr>
        <w:t>b034.</w:t>
      </w:r>
    </w:p>
    <w:p w14:paraId="064588A5" w14:textId="122D9B44"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(18)</w:t>
      </w:r>
      <w:r w:rsidRPr="00A73246">
        <w:rPr>
          <w:rFonts w:ascii="Times New Roman" w:hAnsi="Times New Roman" w:cs="Times New Roman"/>
          <w:szCs w:val="21"/>
        </w:rPr>
        <w:tab/>
        <w:t xml:space="preserve">Veith, H.; Southall, N.; Huang, R.; James, T.; Fayne, D.; Artemenko, N.; Shen, M.; Inglese, J.; Austin, C. P.; Lloyd, D. G.; Auld, D. S. Comprehensive Characterization of Cytochrome P450 Isozyme Selectivity across Chemical Libraries. </w:t>
      </w:r>
      <w:r w:rsidRPr="00A73246">
        <w:rPr>
          <w:rFonts w:ascii="Times New Roman" w:hAnsi="Times New Roman" w:cs="Times New Roman"/>
          <w:i/>
          <w:iCs/>
          <w:szCs w:val="21"/>
        </w:rPr>
        <w:t>Nat Biotechnol</w:t>
      </w:r>
      <w:r w:rsidRPr="00A73246">
        <w:rPr>
          <w:rFonts w:ascii="Times New Roman" w:hAnsi="Times New Roman" w:cs="Times New Roman"/>
          <w:szCs w:val="21"/>
        </w:rPr>
        <w:t xml:space="preserve"> </w:t>
      </w:r>
      <w:r w:rsidRPr="00A73246">
        <w:rPr>
          <w:rFonts w:ascii="Times New Roman" w:hAnsi="Times New Roman" w:cs="Times New Roman"/>
          <w:b/>
          <w:bCs/>
          <w:szCs w:val="21"/>
        </w:rPr>
        <w:t>2009</w:t>
      </w:r>
      <w:r w:rsidRPr="00A73246">
        <w:rPr>
          <w:rFonts w:ascii="Times New Roman" w:hAnsi="Times New Roman" w:cs="Times New Roman"/>
          <w:szCs w:val="21"/>
        </w:rPr>
        <w:t xml:space="preserve">, </w:t>
      </w:r>
      <w:r w:rsidRPr="00A73246">
        <w:rPr>
          <w:rFonts w:ascii="Times New Roman" w:hAnsi="Times New Roman" w:cs="Times New Roman"/>
          <w:i/>
          <w:iCs/>
          <w:szCs w:val="21"/>
        </w:rPr>
        <w:t>27</w:t>
      </w:r>
      <w:r w:rsidRPr="00A73246">
        <w:rPr>
          <w:rFonts w:ascii="Times New Roman" w:hAnsi="Times New Roman" w:cs="Times New Roman"/>
          <w:szCs w:val="21"/>
        </w:rPr>
        <w:t xml:space="preserve"> (11), 1050–1055.</w:t>
      </w:r>
    </w:p>
    <w:p w14:paraId="3497D75E" w14:textId="7AAA4559"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(19)</w:t>
      </w:r>
      <w:r w:rsidRPr="00A73246">
        <w:rPr>
          <w:rFonts w:ascii="Times New Roman" w:hAnsi="Times New Roman" w:cs="Times New Roman"/>
          <w:szCs w:val="21"/>
        </w:rPr>
        <w:tab/>
        <w:t xml:space="preserve">Kriegl, J. M.; Eriksson, L.; Arnhold, T.; Beck, B.; Johansson, E.; Fox, T. Multivariate Modeling of Cytochrome P450 3A4 Inhibition. </w:t>
      </w:r>
      <w:r w:rsidRPr="00A73246">
        <w:rPr>
          <w:rFonts w:ascii="Times New Roman" w:hAnsi="Times New Roman" w:cs="Times New Roman"/>
          <w:i/>
          <w:iCs/>
          <w:szCs w:val="21"/>
        </w:rPr>
        <w:t>Eur J Pharm Sci</w:t>
      </w:r>
      <w:r w:rsidRPr="00A73246">
        <w:rPr>
          <w:rFonts w:ascii="Times New Roman" w:hAnsi="Times New Roman" w:cs="Times New Roman"/>
          <w:szCs w:val="21"/>
        </w:rPr>
        <w:t xml:space="preserve"> </w:t>
      </w:r>
      <w:r w:rsidRPr="00A73246">
        <w:rPr>
          <w:rFonts w:ascii="Times New Roman" w:hAnsi="Times New Roman" w:cs="Times New Roman"/>
          <w:b/>
          <w:bCs/>
          <w:szCs w:val="21"/>
        </w:rPr>
        <w:t>2005</w:t>
      </w:r>
      <w:r w:rsidRPr="00A73246">
        <w:rPr>
          <w:rFonts w:ascii="Times New Roman" w:hAnsi="Times New Roman" w:cs="Times New Roman"/>
          <w:szCs w:val="21"/>
        </w:rPr>
        <w:t xml:space="preserve">, </w:t>
      </w:r>
      <w:r w:rsidRPr="00A73246">
        <w:rPr>
          <w:rFonts w:ascii="Times New Roman" w:hAnsi="Times New Roman" w:cs="Times New Roman"/>
          <w:i/>
          <w:iCs/>
          <w:szCs w:val="21"/>
        </w:rPr>
        <w:t>24</w:t>
      </w:r>
      <w:r w:rsidRPr="00A73246">
        <w:rPr>
          <w:rFonts w:ascii="Times New Roman" w:hAnsi="Times New Roman" w:cs="Times New Roman"/>
          <w:szCs w:val="21"/>
        </w:rPr>
        <w:t xml:space="preserve"> (5), 451–463.</w:t>
      </w:r>
    </w:p>
    <w:p w14:paraId="402DF82E" w14:textId="71334E05"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(20)</w:t>
      </w:r>
      <w:r w:rsidRPr="00A73246">
        <w:rPr>
          <w:rFonts w:ascii="Times New Roman" w:hAnsi="Times New Roman" w:cs="Times New Roman"/>
          <w:szCs w:val="21"/>
        </w:rPr>
        <w:tab/>
        <w:t xml:space="preserve">Li, X.; Xu, Y.; Lai, L.; Pei, J. Prediction of Human Cytochrome P450 Inhibition Using a Multitask Deep Autoencoder Neural Network. </w:t>
      </w:r>
      <w:r w:rsidRPr="00A73246">
        <w:rPr>
          <w:rFonts w:ascii="Times New Roman" w:hAnsi="Times New Roman" w:cs="Times New Roman"/>
          <w:i/>
          <w:iCs/>
          <w:szCs w:val="21"/>
        </w:rPr>
        <w:t>Mol. Pharmaceutics</w:t>
      </w:r>
      <w:r w:rsidRPr="00A73246">
        <w:rPr>
          <w:rFonts w:ascii="Times New Roman" w:hAnsi="Times New Roman" w:cs="Times New Roman"/>
          <w:szCs w:val="21"/>
        </w:rPr>
        <w:t xml:space="preserve"> </w:t>
      </w:r>
      <w:r w:rsidRPr="00A73246">
        <w:rPr>
          <w:rFonts w:ascii="Times New Roman" w:hAnsi="Times New Roman" w:cs="Times New Roman"/>
          <w:b/>
          <w:bCs/>
          <w:szCs w:val="21"/>
        </w:rPr>
        <w:t>2018</w:t>
      </w:r>
      <w:r w:rsidRPr="00A73246">
        <w:rPr>
          <w:rFonts w:ascii="Times New Roman" w:hAnsi="Times New Roman" w:cs="Times New Roman"/>
          <w:szCs w:val="21"/>
        </w:rPr>
        <w:t xml:space="preserve">, </w:t>
      </w:r>
      <w:r w:rsidRPr="00A73246">
        <w:rPr>
          <w:rFonts w:ascii="Times New Roman" w:hAnsi="Times New Roman" w:cs="Times New Roman"/>
          <w:i/>
          <w:iCs/>
          <w:szCs w:val="21"/>
        </w:rPr>
        <w:t>15</w:t>
      </w:r>
      <w:r w:rsidRPr="00A73246">
        <w:rPr>
          <w:rFonts w:ascii="Times New Roman" w:hAnsi="Times New Roman" w:cs="Times New Roman"/>
          <w:szCs w:val="21"/>
        </w:rPr>
        <w:t xml:space="preserve"> (10), 4336–4345.</w:t>
      </w:r>
    </w:p>
    <w:p w14:paraId="3E96DE0B" w14:textId="58450097"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(21)</w:t>
      </w:r>
      <w:r w:rsidRPr="00A73246">
        <w:rPr>
          <w:rFonts w:ascii="Times New Roman" w:hAnsi="Times New Roman" w:cs="Times New Roman"/>
          <w:szCs w:val="21"/>
        </w:rPr>
        <w:tab/>
        <w:t xml:space="preserve">Yu, L.; Shi, X.; Tian, S.; Gao, S.; Li, L. Classification of Cytochrome P450 1A2 Inhibitors and Noninhibitors Based on Deep Belief Network. </w:t>
      </w:r>
      <w:r w:rsidRPr="00A73246">
        <w:rPr>
          <w:rFonts w:ascii="Times New Roman" w:hAnsi="Times New Roman" w:cs="Times New Roman"/>
          <w:i/>
          <w:iCs/>
          <w:szCs w:val="21"/>
        </w:rPr>
        <w:t>Int. J. Comp. Intel. Appl.</w:t>
      </w:r>
      <w:r w:rsidRPr="00A73246">
        <w:rPr>
          <w:rFonts w:ascii="Times New Roman" w:hAnsi="Times New Roman" w:cs="Times New Roman"/>
          <w:szCs w:val="21"/>
        </w:rPr>
        <w:t xml:space="preserve"> </w:t>
      </w:r>
      <w:r w:rsidRPr="00A73246">
        <w:rPr>
          <w:rFonts w:ascii="Times New Roman" w:hAnsi="Times New Roman" w:cs="Times New Roman"/>
          <w:b/>
          <w:bCs/>
          <w:szCs w:val="21"/>
        </w:rPr>
        <w:t>2017</w:t>
      </w:r>
      <w:r w:rsidRPr="00A73246">
        <w:rPr>
          <w:rFonts w:ascii="Times New Roman" w:hAnsi="Times New Roman" w:cs="Times New Roman"/>
          <w:szCs w:val="21"/>
        </w:rPr>
        <w:t xml:space="preserve">, </w:t>
      </w:r>
      <w:r w:rsidRPr="00A73246">
        <w:rPr>
          <w:rFonts w:ascii="Times New Roman" w:hAnsi="Times New Roman" w:cs="Times New Roman"/>
          <w:i/>
          <w:iCs/>
          <w:szCs w:val="21"/>
        </w:rPr>
        <w:t>16</w:t>
      </w:r>
      <w:r w:rsidRPr="00A73246">
        <w:rPr>
          <w:rFonts w:ascii="Times New Roman" w:hAnsi="Times New Roman" w:cs="Times New Roman"/>
          <w:szCs w:val="21"/>
        </w:rPr>
        <w:t xml:space="preserve"> (01), 1750002.</w:t>
      </w:r>
    </w:p>
    <w:p w14:paraId="3CD123F6" w14:textId="5BC4672A"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(22)</w:t>
      </w:r>
      <w:r w:rsidRPr="00A73246">
        <w:rPr>
          <w:rFonts w:ascii="Times New Roman" w:hAnsi="Times New Roman" w:cs="Times New Roman"/>
          <w:szCs w:val="21"/>
        </w:rPr>
        <w:tab/>
        <w:t xml:space="preserve">Shao, C.-Y.; Su, B.-H.; Tu, Y.-S.; Lin, C.; Lin, O. A.; Tseng, Y. J. CypRules: A Rule-Based P450 Inhibition Prediction Server. </w:t>
      </w:r>
      <w:r w:rsidRPr="00A73246">
        <w:rPr>
          <w:rFonts w:ascii="Times New Roman" w:hAnsi="Times New Roman" w:cs="Times New Roman"/>
          <w:i/>
          <w:iCs/>
          <w:szCs w:val="21"/>
        </w:rPr>
        <w:t>Bioinformatics</w:t>
      </w:r>
      <w:r w:rsidRPr="00A73246">
        <w:rPr>
          <w:rFonts w:ascii="Times New Roman" w:hAnsi="Times New Roman" w:cs="Times New Roman"/>
          <w:szCs w:val="21"/>
        </w:rPr>
        <w:t xml:space="preserve"> </w:t>
      </w:r>
      <w:r w:rsidRPr="00A73246">
        <w:rPr>
          <w:rFonts w:ascii="Times New Roman" w:hAnsi="Times New Roman" w:cs="Times New Roman"/>
          <w:b/>
          <w:bCs/>
          <w:szCs w:val="21"/>
        </w:rPr>
        <w:t>2015</w:t>
      </w:r>
      <w:r w:rsidRPr="00A73246">
        <w:rPr>
          <w:rFonts w:ascii="Times New Roman" w:hAnsi="Times New Roman" w:cs="Times New Roman"/>
          <w:szCs w:val="21"/>
        </w:rPr>
        <w:t xml:space="preserve">, </w:t>
      </w:r>
      <w:r w:rsidRPr="00A73246">
        <w:rPr>
          <w:rFonts w:ascii="Times New Roman" w:hAnsi="Times New Roman" w:cs="Times New Roman"/>
          <w:i/>
          <w:iCs/>
          <w:szCs w:val="21"/>
        </w:rPr>
        <w:t>31</w:t>
      </w:r>
      <w:r w:rsidRPr="00A73246">
        <w:rPr>
          <w:rFonts w:ascii="Times New Roman" w:hAnsi="Times New Roman" w:cs="Times New Roman"/>
          <w:szCs w:val="21"/>
        </w:rPr>
        <w:t xml:space="preserve"> (11), 1869–1871.</w:t>
      </w:r>
    </w:p>
    <w:p w14:paraId="3E5D77A6" w14:textId="3118C5DB"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(23)</w:t>
      </w:r>
      <w:r w:rsidRPr="00A73246">
        <w:rPr>
          <w:rFonts w:ascii="Times New Roman" w:hAnsi="Times New Roman" w:cs="Times New Roman"/>
          <w:szCs w:val="21"/>
        </w:rPr>
        <w:tab/>
        <w:t xml:space="preserve">Zhang, S.; Yan, Z.; Huang, Y.; Liu, L.; He, D.; Wang, W.; Fang, X.; Zhang, X.; Wang, F.; Wu, H.; Wang, H. HelixADMET: A Robust and Endpoint Extensible ADMET System Incorporating Self-Supervised Knowledge Transfer. </w:t>
      </w:r>
      <w:r w:rsidRPr="00A73246">
        <w:rPr>
          <w:rFonts w:ascii="Times New Roman" w:hAnsi="Times New Roman" w:cs="Times New Roman"/>
          <w:i/>
          <w:iCs/>
          <w:szCs w:val="21"/>
        </w:rPr>
        <w:t>Bioinformatics</w:t>
      </w:r>
      <w:r w:rsidRPr="00A73246">
        <w:rPr>
          <w:rFonts w:ascii="Times New Roman" w:hAnsi="Times New Roman" w:cs="Times New Roman"/>
          <w:szCs w:val="21"/>
        </w:rPr>
        <w:t xml:space="preserve"> </w:t>
      </w:r>
      <w:r w:rsidRPr="00A73246">
        <w:rPr>
          <w:rFonts w:ascii="Times New Roman" w:hAnsi="Times New Roman" w:cs="Times New Roman"/>
          <w:b/>
          <w:bCs/>
          <w:szCs w:val="21"/>
        </w:rPr>
        <w:t>2022</w:t>
      </w:r>
      <w:r w:rsidRPr="00A73246">
        <w:rPr>
          <w:rFonts w:ascii="Times New Roman" w:hAnsi="Times New Roman" w:cs="Times New Roman"/>
          <w:szCs w:val="21"/>
        </w:rPr>
        <w:t xml:space="preserve">, </w:t>
      </w:r>
      <w:r w:rsidRPr="00A73246">
        <w:rPr>
          <w:rFonts w:ascii="Times New Roman" w:hAnsi="Times New Roman" w:cs="Times New Roman"/>
          <w:i/>
          <w:iCs/>
          <w:szCs w:val="21"/>
        </w:rPr>
        <w:t>38</w:t>
      </w:r>
      <w:r w:rsidRPr="00A73246">
        <w:rPr>
          <w:rFonts w:ascii="Times New Roman" w:hAnsi="Times New Roman" w:cs="Times New Roman"/>
          <w:szCs w:val="21"/>
        </w:rPr>
        <w:t xml:space="preserve"> (13), 3444–3453</w:t>
      </w:r>
      <w:r w:rsidR="00470E8D">
        <w:rPr>
          <w:rFonts w:ascii="Times New Roman" w:hAnsi="Times New Roman" w:cs="Times New Roman"/>
          <w:szCs w:val="21"/>
        </w:rPr>
        <w:t>.</w:t>
      </w:r>
    </w:p>
    <w:p w14:paraId="22C3E8A2" w14:textId="1E6B2EC3"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(24)</w:t>
      </w:r>
      <w:r w:rsidRPr="00A73246">
        <w:rPr>
          <w:rFonts w:ascii="Times New Roman" w:hAnsi="Times New Roman" w:cs="Times New Roman"/>
          <w:szCs w:val="21"/>
        </w:rPr>
        <w:tab/>
        <w:t xml:space="preserve">Xiong, G.; Wu, Z.; Yi, J.; Fu, L.; Yang, Z.; Hsieh, C.; Yin, M.; Zeng, X.; Wu, C.; Lu, A.; Chen, X.; Hou, T.; Cao, D. ADMETlab 2.0: An Integrated Online Platform for Accurate and Comprehensive Predictions of ADMET Properties. </w:t>
      </w:r>
      <w:r w:rsidRPr="00A73246">
        <w:rPr>
          <w:rFonts w:ascii="Times New Roman" w:hAnsi="Times New Roman" w:cs="Times New Roman"/>
          <w:i/>
          <w:iCs/>
          <w:szCs w:val="21"/>
        </w:rPr>
        <w:t>Nucleic Acids Research</w:t>
      </w:r>
      <w:r w:rsidRPr="00A73246">
        <w:rPr>
          <w:rFonts w:ascii="Times New Roman" w:hAnsi="Times New Roman" w:cs="Times New Roman"/>
          <w:szCs w:val="21"/>
        </w:rPr>
        <w:t xml:space="preserve"> </w:t>
      </w:r>
      <w:r w:rsidRPr="00A73246">
        <w:rPr>
          <w:rFonts w:ascii="Times New Roman" w:hAnsi="Times New Roman" w:cs="Times New Roman"/>
          <w:b/>
          <w:bCs/>
          <w:szCs w:val="21"/>
        </w:rPr>
        <w:t>2021</w:t>
      </w:r>
      <w:r w:rsidRPr="00A73246">
        <w:rPr>
          <w:rFonts w:ascii="Times New Roman" w:hAnsi="Times New Roman" w:cs="Times New Roman"/>
          <w:szCs w:val="21"/>
        </w:rPr>
        <w:t xml:space="preserve">, </w:t>
      </w:r>
      <w:r w:rsidRPr="00A73246">
        <w:rPr>
          <w:rFonts w:ascii="Times New Roman" w:hAnsi="Times New Roman" w:cs="Times New Roman"/>
          <w:i/>
          <w:iCs/>
          <w:szCs w:val="21"/>
        </w:rPr>
        <w:t>49</w:t>
      </w:r>
      <w:r w:rsidRPr="00A73246">
        <w:rPr>
          <w:rFonts w:ascii="Times New Roman" w:hAnsi="Times New Roman" w:cs="Times New Roman"/>
          <w:szCs w:val="21"/>
        </w:rPr>
        <w:t xml:space="preserve"> (W1), W5–W14.</w:t>
      </w:r>
    </w:p>
    <w:p w14:paraId="50C053B6" w14:textId="10EDBE44"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(25)</w:t>
      </w:r>
      <w:r w:rsidRPr="00A73246">
        <w:rPr>
          <w:rFonts w:ascii="Times New Roman" w:hAnsi="Times New Roman" w:cs="Times New Roman"/>
          <w:szCs w:val="21"/>
        </w:rPr>
        <w:tab/>
        <w:t xml:space="preserve">Wei, Y.; Li, S.; Li, Z.; Wan, Z.; Lin, J. Interpretable-ADMET: A Web Service for ADMET Prediction and Optimization Based on Deep Neural Representation. </w:t>
      </w:r>
      <w:r w:rsidRPr="00A73246">
        <w:rPr>
          <w:rFonts w:ascii="Times New Roman" w:hAnsi="Times New Roman" w:cs="Times New Roman"/>
          <w:i/>
          <w:iCs/>
          <w:szCs w:val="21"/>
        </w:rPr>
        <w:t>Bioinformatics</w:t>
      </w:r>
      <w:r w:rsidRPr="00A73246">
        <w:rPr>
          <w:rFonts w:ascii="Times New Roman" w:hAnsi="Times New Roman" w:cs="Times New Roman"/>
          <w:szCs w:val="21"/>
        </w:rPr>
        <w:t xml:space="preserve"> </w:t>
      </w:r>
      <w:r w:rsidRPr="00A73246">
        <w:rPr>
          <w:rFonts w:ascii="Times New Roman" w:hAnsi="Times New Roman" w:cs="Times New Roman"/>
          <w:b/>
          <w:bCs/>
          <w:szCs w:val="21"/>
        </w:rPr>
        <w:t>2022</w:t>
      </w:r>
      <w:r w:rsidRPr="00A73246">
        <w:rPr>
          <w:rFonts w:ascii="Times New Roman" w:hAnsi="Times New Roman" w:cs="Times New Roman"/>
          <w:szCs w:val="21"/>
        </w:rPr>
        <w:t xml:space="preserve">, </w:t>
      </w:r>
      <w:r w:rsidRPr="00A73246">
        <w:rPr>
          <w:rFonts w:ascii="Times New Roman" w:hAnsi="Times New Roman" w:cs="Times New Roman"/>
          <w:i/>
          <w:iCs/>
          <w:szCs w:val="21"/>
        </w:rPr>
        <w:t>38</w:t>
      </w:r>
      <w:r w:rsidRPr="00A73246">
        <w:rPr>
          <w:rFonts w:ascii="Times New Roman" w:hAnsi="Times New Roman" w:cs="Times New Roman"/>
          <w:szCs w:val="21"/>
        </w:rPr>
        <w:t xml:space="preserve"> (10), 2863–2871.</w:t>
      </w:r>
    </w:p>
    <w:p w14:paraId="7D58442E" w14:textId="0BA8FEDD"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(26)</w:t>
      </w:r>
      <w:r w:rsidRPr="00A73246">
        <w:rPr>
          <w:rFonts w:ascii="Times New Roman" w:hAnsi="Times New Roman" w:cs="Times New Roman"/>
          <w:szCs w:val="21"/>
        </w:rPr>
        <w:tab/>
        <w:t xml:space="preserve">Venkatraman, V. FP-ADMET: A Compendium of Fingerprint-Based ADMET Prediction Models. </w:t>
      </w:r>
      <w:r w:rsidRPr="00A73246">
        <w:rPr>
          <w:rFonts w:ascii="Times New Roman" w:hAnsi="Times New Roman" w:cs="Times New Roman"/>
          <w:i/>
          <w:iCs/>
          <w:szCs w:val="21"/>
        </w:rPr>
        <w:t>J Cheminform</w:t>
      </w:r>
      <w:r w:rsidRPr="00A73246">
        <w:rPr>
          <w:rFonts w:ascii="Times New Roman" w:hAnsi="Times New Roman" w:cs="Times New Roman"/>
          <w:szCs w:val="21"/>
        </w:rPr>
        <w:t xml:space="preserve"> </w:t>
      </w:r>
      <w:r w:rsidRPr="00A73246">
        <w:rPr>
          <w:rFonts w:ascii="Times New Roman" w:hAnsi="Times New Roman" w:cs="Times New Roman"/>
          <w:b/>
          <w:bCs/>
          <w:szCs w:val="21"/>
        </w:rPr>
        <w:t>2021</w:t>
      </w:r>
      <w:r w:rsidRPr="00A73246">
        <w:rPr>
          <w:rFonts w:ascii="Times New Roman" w:hAnsi="Times New Roman" w:cs="Times New Roman"/>
          <w:szCs w:val="21"/>
        </w:rPr>
        <w:t xml:space="preserve">, </w:t>
      </w:r>
      <w:r w:rsidRPr="00A73246">
        <w:rPr>
          <w:rFonts w:ascii="Times New Roman" w:hAnsi="Times New Roman" w:cs="Times New Roman"/>
          <w:i/>
          <w:iCs/>
          <w:szCs w:val="21"/>
        </w:rPr>
        <w:t>13</w:t>
      </w:r>
      <w:r w:rsidRPr="00A73246">
        <w:rPr>
          <w:rFonts w:ascii="Times New Roman" w:hAnsi="Times New Roman" w:cs="Times New Roman"/>
          <w:szCs w:val="21"/>
        </w:rPr>
        <w:t xml:space="preserve"> (1), 75.</w:t>
      </w:r>
    </w:p>
    <w:p w14:paraId="3E3C9B76" w14:textId="6D4614B0"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(27)</w:t>
      </w:r>
      <w:r w:rsidRPr="00A73246">
        <w:rPr>
          <w:rFonts w:ascii="Times New Roman" w:hAnsi="Times New Roman" w:cs="Times New Roman"/>
          <w:szCs w:val="21"/>
        </w:rPr>
        <w:tab/>
        <w:t xml:space="preserve">Yang, H.; Lou, C.; Sun, L.; Li, J.; Cai, Y.; Wang, Z.; Li, W.; Liu, G.; Tang, Y. AdmetSAR 2.0: Web-Service for Prediction and Optimization of Chemical ADMET Properties. </w:t>
      </w:r>
      <w:r w:rsidRPr="00A73246">
        <w:rPr>
          <w:rFonts w:ascii="Times New Roman" w:hAnsi="Times New Roman" w:cs="Times New Roman"/>
          <w:i/>
          <w:iCs/>
          <w:szCs w:val="21"/>
        </w:rPr>
        <w:t>Bioinformatics</w:t>
      </w:r>
      <w:r w:rsidRPr="00A73246">
        <w:rPr>
          <w:rFonts w:ascii="Times New Roman" w:hAnsi="Times New Roman" w:cs="Times New Roman"/>
          <w:szCs w:val="21"/>
        </w:rPr>
        <w:t xml:space="preserve"> </w:t>
      </w:r>
      <w:r w:rsidRPr="00A73246">
        <w:rPr>
          <w:rFonts w:ascii="Times New Roman" w:hAnsi="Times New Roman" w:cs="Times New Roman"/>
          <w:b/>
          <w:bCs/>
          <w:szCs w:val="21"/>
        </w:rPr>
        <w:t>2019</w:t>
      </w:r>
      <w:r w:rsidRPr="00A73246">
        <w:rPr>
          <w:rFonts w:ascii="Times New Roman" w:hAnsi="Times New Roman" w:cs="Times New Roman"/>
          <w:szCs w:val="21"/>
        </w:rPr>
        <w:t xml:space="preserve">, </w:t>
      </w:r>
      <w:r w:rsidRPr="00A73246">
        <w:rPr>
          <w:rFonts w:ascii="Times New Roman" w:hAnsi="Times New Roman" w:cs="Times New Roman"/>
          <w:i/>
          <w:iCs/>
          <w:szCs w:val="21"/>
        </w:rPr>
        <w:t>35</w:t>
      </w:r>
      <w:r w:rsidRPr="00A73246">
        <w:rPr>
          <w:rFonts w:ascii="Times New Roman" w:hAnsi="Times New Roman" w:cs="Times New Roman"/>
          <w:szCs w:val="21"/>
        </w:rPr>
        <w:t xml:space="preserve"> (6), 1067–1069.</w:t>
      </w:r>
    </w:p>
    <w:p w14:paraId="3624D65C" w14:textId="34948AD1"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(28)</w:t>
      </w:r>
      <w:r w:rsidRPr="00A73246">
        <w:rPr>
          <w:rFonts w:ascii="Times New Roman" w:hAnsi="Times New Roman" w:cs="Times New Roman"/>
          <w:szCs w:val="21"/>
        </w:rPr>
        <w:tab/>
        <w:t xml:space="preserve">Banerjee, P.; Dunkel, M.; Kemmler, E.; Preissner, R. SuperCYPsPred—a Web Server for the Prediction of Cytochrome Activity. </w:t>
      </w:r>
      <w:r w:rsidRPr="00A73246">
        <w:rPr>
          <w:rFonts w:ascii="Times New Roman" w:hAnsi="Times New Roman" w:cs="Times New Roman"/>
          <w:i/>
          <w:iCs/>
          <w:szCs w:val="21"/>
        </w:rPr>
        <w:t>Nucleic Acids Research</w:t>
      </w:r>
      <w:r w:rsidRPr="00A73246">
        <w:rPr>
          <w:rFonts w:ascii="Times New Roman" w:hAnsi="Times New Roman" w:cs="Times New Roman"/>
          <w:szCs w:val="21"/>
        </w:rPr>
        <w:t xml:space="preserve"> </w:t>
      </w:r>
      <w:r w:rsidRPr="00A73246">
        <w:rPr>
          <w:rFonts w:ascii="Times New Roman" w:hAnsi="Times New Roman" w:cs="Times New Roman"/>
          <w:b/>
          <w:bCs/>
          <w:szCs w:val="21"/>
        </w:rPr>
        <w:t>2020</w:t>
      </w:r>
      <w:r w:rsidRPr="00A73246">
        <w:rPr>
          <w:rFonts w:ascii="Times New Roman" w:hAnsi="Times New Roman" w:cs="Times New Roman"/>
          <w:szCs w:val="21"/>
        </w:rPr>
        <w:t xml:space="preserve">, </w:t>
      </w:r>
      <w:r w:rsidRPr="00A73246">
        <w:rPr>
          <w:rFonts w:ascii="Times New Roman" w:hAnsi="Times New Roman" w:cs="Times New Roman"/>
          <w:i/>
          <w:iCs/>
          <w:szCs w:val="21"/>
        </w:rPr>
        <w:t>48</w:t>
      </w:r>
      <w:r w:rsidRPr="00A73246">
        <w:rPr>
          <w:rFonts w:ascii="Times New Roman" w:hAnsi="Times New Roman" w:cs="Times New Roman"/>
          <w:szCs w:val="21"/>
        </w:rPr>
        <w:t xml:space="preserve"> (W1), W580–W585.</w:t>
      </w:r>
    </w:p>
    <w:p w14:paraId="3E404EC1" w14:textId="1AF62A04"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lastRenderedPageBreak/>
        <w:t>(29)</w:t>
      </w:r>
      <w:r w:rsidRPr="00A73246">
        <w:rPr>
          <w:rFonts w:ascii="Times New Roman" w:hAnsi="Times New Roman" w:cs="Times New Roman"/>
          <w:szCs w:val="21"/>
        </w:rPr>
        <w:tab/>
        <w:t>Nguyen-Vo, T.</w:t>
      </w:r>
      <w:r w:rsidR="00470E8D">
        <w:rPr>
          <w:rFonts w:ascii="Times New Roman" w:hAnsi="Times New Roman" w:cs="Times New Roman"/>
          <w:szCs w:val="21"/>
        </w:rPr>
        <w:t xml:space="preserve"> </w:t>
      </w:r>
      <w:r w:rsidRPr="00A73246">
        <w:rPr>
          <w:rFonts w:ascii="Times New Roman" w:hAnsi="Times New Roman" w:cs="Times New Roman"/>
          <w:szCs w:val="21"/>
        </w:rPr>
        <w:t>H.; Trinh, Q. H.; Nguyen, L.; Nguyen-Hoang, P.</w:t>
      </w:r>
      <w:r w:rsidR="00470E8D">
        <w:rPr>
          <w:rFonts w:ascii="Times New Roman" w:hAnsi="Times New Roman" w:cs="Times New Roman"/>
          <w:szCs w:val="21"/>
        </w:rPr>
        <w:t xml:space="preserve"> </w:t>
      </w:r>
      <w:r w:rsidRPr="00A73246">
        <w:rPr>
          <w:rFonts w:ascii="Times New Roman" w:hAnsi="Times New Roman" w:cs="Times New Roman"/>
          <w:szCs w:val="21"/>
        </w:rPr>
        <w:t>U.; Nguyen, T.</w:t>
      </w:r>
      <w:r w:rsidR="00470E8D">
        <w:rPr>
          <w:rFonts w:ascii="Times New Roman" w:hAnsi="Times New Roman" w:cs="Times New Roman"/>
          <w:szCs w:val="21"/>
        </w:rPr>
        <w:t xml:space="preserve"> </w:t>
      </w:r>
      <w:r w:rsidRPr="00A73246">
        <w:rPr>
          <w:rFonts w:ascii="Times New Roman" w:hAnsi="Times New Roman" w:cs="Times New Roman"/>
          <w:szCs w:val="21"/>
        </w:rPr>
        <w:t xml:space="preserve">N.; Nguyen, D. T.; Nguyen, B. P.; Le, L. </w:t>
      </w:r>
      <w:r w:rsidR="00470E8D">
        <w:rPr>
          <w:rFonts w:ascii="Times New Roman" w:hAnsi="Times New Roman" w:cs="Times New Roman"/>
          <w:szCs w:val="21"/>
        </w:rPr>
        <w:t>i</w:t>
      </w:r>
      <w:r w:rsidRPr="00A73246">
        <w:rPr>
          <w:rFonts w:ascii="Times New Roman" w:hAnsi="Times New Roman" w:cs="Times New Roman"/>
          <w:szCs w:val="21"/>
        </w:rPr>
        <w:t xml:space="preserve">CYP-MFE: Identifying Human Cytochrome P450 Inhibitors Using Multitask Learning and Molecular Fingerprint-Embedded Encoding. </w:t>
      </w:r>
      <w:r w:rsidRPr="00A73246">
        <w:rPr>
          <w:rFonts w:ascii="Times New Roman" w:hAnsi="Times New Roman" w:cs="Times New Roman"/>
          <w:i/>
          <w:iCs/>
          <w:szCs w:val="21"/>
        </w:rPr>
        <w:t>J. Chem. Inf. Model.</w:t>
      </w:r>
      <w:r w:rsidRPr="00A73246">
        <w:rPr>
          <w:rFonts w:ascii="Times New Roman" w:hAnsi="Times New Roman" w:cs="Times New Roman"/>
          <w:szCs w:val="21"/>
        </w:rPr>
        <w:t xml:space="preserve"> </w:t>
      </w:r>
      <w:r w:rsidRPr="00A73246">
        <w:rPr>
          <w:rFonts w:ascii="Times New Roman" w:hAnsi="Times New Roman" w:cs="Times New Roman"/>
          <w:b/>
          <w:bCs/>
          <w:szCs w:val="21"/>
        </w:rPr>
        <w:t>202</w:t>
      </w:r>
      <w:r w:rsidR="007B2C18">
        <w:rPr>
          <w:rFonts w:ascii="Times New Roman" w:hAnsi="Times New Roman" w:cs="Times New Roman"/>
          <w:b/>
          <w:bCs/>
          <w:szCs w:val="21"/>
        </w:rPr>
        <w:t>2</w:t>
      </w:r>
      <w:r w:rsidRPr="00A73246">
        <w:rPr>
          <w:rFonts w:ascii="Times New Roman" w:hAnsi="Times New Roman" w:cs="Times New Roman"/>
          <w:szCs w:val="21"/>
        </w:rPr>
        <w:t xml:space="preserve">, </w:t>
      </w:r>
      <w:r w:rsidR="007B2C18">
        <w:rPr>
          <w:rFonts w:ascii="Times New Roman" w:hAnsi="Times New Roman" w:cs="Times New Roman"/>
          <w:szCs w:val="21"/>
        </w:rPr>
        <w:t>62,21,5059-5068.</w:t>
      </w:r>
    </w:p>
    <w:p w14:paraId="441A18F5" w14:textId="01291DE9"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(30)</w:t>
      </w:r>
      <w:r w:rsidRPr="00A73246">
        <w:rPr>
          <w:rFonts w:ascii="Times New Roman" w:hAnsi="Times New Roman" w:cs="Times New Roman"/>
          <w:szCs w:val="21"/>
        </w:rPr>
        <w:tab/>
        <w:t xml:space="preserve">Mervin, L. H.; Johansson, S.; Semenova, E.; Giblin, K. A.; Engkvist, O. Uncertainty Quantification in Drug Design. </w:t>
      </w:r>
      <w:r w:rsidRPr="00A73246">
        <w:rPr>
          <w:rFonts w:ascii="Times New Roman" w:hAnsi="Times New Roman" w:cs="Times New Roman"/>
          <w:i/>
          <w:iCs/>
          <w:szCs w:val="21"/>
        </w:rPr>
        <w:t>Drug Discovery Today</w:t>
      </w:r>
      <w:r w:rsidRPr="00A73246">
        <w:rPr>
          <w:rFonts w:ascii="Times New Roman" w:hAnsi="Times New Roman" w:cs="Times New Roman"/>
          <w:szCs w:val="21"/>
        </w:rPr>
        <w:t xml:space="preserve"> </w:t>
      </w:r>
      <w:r w:rsidRPr="00A73246">
        <w:rPr>
          <w:rFonts w:ascii="Times New Roman" w:hAnsi="Times New Roman" w:cs="Times New Roman"/>
          <w:b/>
          <w:bCs/>
          <w:szCs w:val="21"/>
        </w:rPr>
        <w:t>2021</w:t>
      </w:r>
      <w:r w:rsidRPr="00A73246">
        <w:rPr>
          <w:rFonts w:ascii="Times New Roman" w:hAnsi="Times New Roman" w:cs="Times New Roman"/>
          <w:szCs w:val="21"/>
        </w:rPr>
        <w:t xml:space="preserve">, </w:t>
      </w:r>
      <w:r w:rsidRPr="00A73246">
        <w:rPr>
          <w:rFonts w:ascii="Times New Roman" w:hAnsi="Times New Roman" w:cs="Times New Roman"/>
          <w:i/>
          <w:iCs/>
          <w:szCs w:val="21"/>
        </w:rPr>
        <w:t>26</w:t>
      </w:r>
      <w:r w:rsidRPr="00A73246">
        <w:rPr>
          <w:rFonts w:ascii="Times New Roman" w:hAnsi="Times New Roman" w:cs="Times New Roman"/>
          <w:szCs w:val="21"/>
        </w:rPr>
        <w:t xml:space="preserve"> (2), 474–489.</w:t>
      </w:r>
    </w:p>
    <w:p w14:paraId="383C367C" w14:textId="430F7A7A"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(31)</w:t>
      </w:r>
      <w:r w:rsidRPr="00A73246">
        <w:rPr>
          <w:rFonts w:ascii="Times New Roman" w:hAnsi="Times New Roman" w:cs="Times New Roman"/>
          <w:szCs w:val="21"/>
        </w:rPr>
        <w:tab/>
        <w:t>Kendall, A.; Gal, Y. What Uncertainties Do We Need in Bayesian Deep Learning for Computer Vision?</w:t>
      </w:r>
      <w:r w:rsidR="00470E8D" w:rsidRPr="00470E8D">
        <w:t xml:space="preserve"> </w:t>
      </w:r>
      <w:r w:rsidR="00470E8D" w:rsidRPr="00470E8D">
        <w:rPr>
          <w:rFonts w:ascii="Times New Roman" w:hAnsi="Times New Roman" w:cs="Times New Roman"/>
          <w:szCs w:val="21"/>
        </w:rPr>
        <w:t>2017,</w:t>
      </w:r>
      <w:r w:rsidR="006F3069">
        <w:rPr>
          <w:rFonts w:ascii="Times New Roman" w:hAnsi="Times New Roman" w:cs="Times New Roman"/>
          <w:szCs w:val="21"/>
        </w:rPr>
        <w:t xml:space="preserve"> I</w:t>
      </w:r>
      <w:r w:rsidR="00774ED8" w:rsidRPr="00774ED8">
        <w:rPr>
          <w:rFonts w:ascii="Times New Roman" w:hAnsi="Times New Roman" w:cs="Times New Roman"/>
          <w:szCs w:val="21"/>
        </w:rPr>
        <w:t>n</w:t>
      </w:r>
      <w:r w:rsidR="006F3069">
        <w:rPr>
          <w:rFonts w:ascii="Times New Roman" w:hAnsi="Times New Roman" w:cs="Times New Roman"/>
          <w:szCs w:val="21"/>
        </w:rPr>
        <w:t xml:space="preserve"> </w:t>
      </w:r>
      <w:r w:rsidR="00774ED8" w:rsidRPr="006F3069">
        <w:rPr>
          <w:rFonts w:ascii="Times New Roman" w:hAnsi="Times New Roman" w:cs="Times New Roman"/>
          <w:i/>
          <w:iCs/>
          <w:szCs w:val="21"/>
        </w:rPr>
        <w:t>Advances in Neural Information Processing Systems</w:t>
      </w:r>
      <w:r w:rsidR="00774ED8" w:rsidRPr="00774ED8">
        <w:rPr>
          <w:rFonts w:ascii="Times New Roman" w:hAnsi="Times New Roman" w:cs="Times New Roman"/>
          <w:szCs w:val="21"/>
        </w:rPr>
        <w:t xml:space="preserve">, </w:t>
      </w:r>
      <w:r w:rsidR="00774ED8" w:rsidRPr="006F3069">
        <w:rPr>
          <w:rFonts w:ascii="Times New Roman" w:hAnsi="Times New Roman" w:cs="Times New Roman"/>
          <w:b/>
          <w:bCs/>
          <w:szCs w:val="21"/>
        </w:rPr>
        <w:t>2017</w:t>
      </w:r>
      <w:r w:rsidR="00774ED8" w:rsidRPr="00774ED8">
        <w:rPr>
          <w:rFonts w:ascii="Times New Roman" w:hAnsi="Times New Roman" w:cs="Times New Roman"/>
          <w:szCs w:val="21"/>
        </w:rPr>
        <w:t>, p</w:t>
      </w:r>
      <w:r w:rsidR="006F3069">
        <w:rPr>
          <w:rFonts w:ascii="Times New Roman" w:hAnsi="Times New Roman" w:cs="Times New Roman"/>
          <w:szCs w:val="21"/>
        </w:rPr>
        <w:t>p</w:t>
      </w:r>
      <w:r w:rsidR="00774ED8" w:rsidRPr="00774ED8">
        <w:rPr>
          <w:rFonts w:ascii="Times New Roman" w:hAnsi="Times New Roman" w:cs="Times New Roman"/>
          <w:szCs w:val="21"/>
        </w:rPr>
        <w:t>. 5574–5584</w:t>
      </w:r>
      <w:r w:rsidR="00470E8D" w:rsidRPr="00470E8D">
        <w:rPr>
          <w:rFonts w:ascii="Times New Roman" w:hAnsi="Times New Roman" w:cs="Times New Roman"/>
          <w:szCs w:val="21"/>
        </w:rPr>
        <w:t>.</w:t>
      </w:r>
    </w:p>
    <w:p w14:paraId="790317D3" w14:textId="37230FD6"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(32)</w:t>
      </w:r>
      <w:r w:rsidRPr="00A73246">
        <w:rPr>
          <w:rFonts w:ascii="Times New Roman" w:hAnsi="Times New Roman" w:cs="Times New Roman"/>
          <w:szCs w:val="21"/>
        </w:rPr>
        <w:tab/>
        <w:t xml:space="preserve">Abdar, M.; Pourpanah, F.; Hussain, S.; Rezazadegan, D.; Liu, L.; Ghavamzadeh, M.; Fieguth, P.; Cao, X.; Khosravi, A.; Acharya, U. R.; Makarenkov, V.; Nahavandi, S. A Review of Uncertainty Quantification in Deep Learning: Techniques, Applications and Challenges. </w:t>
      </w:r>
      <w:r w:rsidRPr="00A73246">
        <w:rPr>
          <w:rFonts w:ascii="Times New Roman" w:hAnsi="Times New Roman" w:cs="Times New Roman"/>
          <w:i/>
          <w:iCs/>
          <w:szCs w:val="21"/>
        </w:rPr>
        <w:t>Information Fusion</w:t>
      </w:r>
      <w:r w:rsidRPr="00A73246">
        <w:rPr>
          <w:rFonts w:ascii="Times New Roman" w:hAnsi="Times New Roman" w:cs="Times New Roman"/>
          <w:szCs w:val="21"/>
        </w:rPr>
        <w:t xml:space="preserve"> </w:t>
      </w:r>
      <w:r w:rsidRPr="00A73246">
        <w:rPr>
          <w:rFonts w:ascii="Times New Roman" w:hAnsi="Times New Roman" w:cs="Times New Roman"/>
          <w:b/>
          <w:bCs/>
          <w:szCs w:val="21"/>
        </w:rPr>
        <w:t>2021</w:t>
      </w:r>
      <w:r w:rsidRPr="00A73246">
        <w:rPr>
          <w:rFonts w:ascii="Times New Roman" w:hAnsi="Times New Roman" w:cs="Times New Roman"/>
          <w:szCs w:val="21"/>
        </w:rPr>
        <w:t xml:space="preserve">, </w:t>
      </w:r>
      <w:r w:rsidRPr="00A73246">
        <w:rPr>
          <w:rFonts w:ascii="Times New Roman" w:hAnsi="Times New Roman" w:cs="Times New Roman"/>
          <w:i/>
          <w:iCs/>
          <w:szCs w:val="21"/>
        </w:rPr>
        <w:t>76</w:t>
      </w:r>
      <w:r w:rsidRPr="00A73246">
        <w:rPr>
          <w:rFonts w:ascii="Times New Roman" w:hAnsi="Times New Roman" w:cs="Times New Roman"/>
          <w:szCs w:val="21"/>
        </w:rPr>
        <w:t>, 243–297.</w:t>
      </w:r>
    </w:p>
    <w:p w14:paraId="06B5DF42" w14:textId="325DDDB0"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(33)</w:t>
      </w:r>
      <w:r w:rsidRPr="00A73246">
        <w:rPr>
          <w:rFonts w:ascii="Times New Roman" w:hAnsi="Times New Roman" w:cs="Times New Roman"/>
          <w:szCs w:val="21"/>
        </w:rPr>
        <w:tab/>
        <w:t>Yu, J.; Wang, D.; Zheng, M. Uncertainty Quantification: Can We Trust Artificial Intelligence in Drug Discovery?</w:t>
      </w:r>
      <w:r w:rsidR="00990FA1">
        <w:rPr>
          <w:rFonts w:ascii="Times New Roman" w:hAnsi="Times New Roman" w:cs="Times New Roman"/>
          <w:szCs w:val="21"/>
        </w:rPr>
        <w:t xml:space="preserve"> </w:t>
      </w:r>
      <w:r w:rsidRPr="00A73246">
        <w:rPr>
          <w:rFonts w:ascii="Times New Roman" w:hAnsi="Times New Roman" w:cs="Times New Roman"/>
          <w:i/>
          <w:iCs/>
          <w:szCs w:val="21"/>
        </w:rPr>
        <w:t>iScience</w:t>
      </w:r>
      <w:r w:rsidRPr="00A73246">
        <w:rPr>
          <w:rFonts w:ascii="Times New Roman" w:hAnsi="Times New Roman" w:cs="Times New Roman"/>
          <w:szCs w:val="21"/>
        </w:rPr>
        <w:t xml:space="preserve"> </w:t>
      </w:r>
      <w:r w:rsidRPr="00A73246">
        <w:rPr>
          <w:rFonts w:ascii="Times New Roman" w:hAnsi="Times New Roman" w:cs="Times New Roman"/>
          <w:b/>
          <w:bCs/>
          <w:szCs w:val="21"/>
        </w:rPr>
        <w:t>2022</w:t>
      </w:r>
      <w:r w:rsidRPr="00A73246">
        <w:rPr>
          <w:rFonts w:ascii="Times New Roman" w:hAnsi="Times New Roman" w:cs="Times New Roman"/>
          <w:szCs w:val="21"/>
        </w:rPr>
        <w:t xml:space="preserve">, </w:t>
      </w:r>
      <w:r w:rsidRPr="00A73246">
        <w:rPr>
          <w:rFonts w:ascii="Times New Roman" w:hAnsi="Times New Roman" w:cs="Times New Roman"/>
          <w:i/>
          <w:iCs/>
          <w:szCs w:val="21"/>
        </w:rPr>
        <w:t>25</w:t>
      </w:r>
      <w:r w:rsidRPr="00A73246">
        <w:rPr>
          <w:rFonts w:ascii="Times New Roman" w:hAnsi="Times New Roman" w:cs="Times New Roman"/>
          <w:szCs w:val="21"/>
        </w:rPr>
        <w:t xml:space="preserve"> (8), 104814.</w:t>
      </w:r>
    </w:p>
    <w:p w14:paraId="0A42A625" w14:textId="560E7870"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(34)</w:t>
      </w:r>
      <w:r w:rsidRPr="00A73246">
        <w:rPr>
          <w:rFonts w:ascii="Times New Roman" w:hAnsi="Times New Roman" w:cs="Times New Roman"/>
          <w:szCs w:val="21"/>
        </w:rPr>
        <w:tab/>
        <w:t>Gal, Y.; Ghahramani, Z. Dropout as a Bayesian Approximation: Representing Model Uncertainty in Deep Learning. arXiv October 4, 2016.</w:t>
      </w:r>
    </w:p>
    <w:p w14:paraId="39EC91A3" w14:textId="617C0D5A"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(35)</w:t>
      </w:r>
      <w:r w:rsidRPr="00A73246">
        <w:rPr>
          <w:rFonts w:ascii="Times New Roman" w:hAnsi="Times New Roman" w:cs="Times New Roman"/>
          <w:szCs w:val="21"/>
        </w:rPr>
        <w:tab/>
      </w:r>
      <w:r w:rsidR="00990FA1" w:rsidRPr="00990FA1">
        <w:rPr>
          <w:rFonts w:ascii="Times New Roman" w:hAnsi="Times New Roman" w:cs="Times New Roman"/>
          <w:szCs w:val="21"/>
        </w:rPr>
        <w:t>Salakhutdinov, R.; Mnih, A</w:t>
      </w:r>
      <w:r w:rsidR="00990FA1" w:rsidRPr="00990FA1">
        <w:rPr>
          <w:rFonts w:ascii="Times New Roman" w:hAnsi="Times New Roman" w:cs="Times New Roman"/>
          <w:i/>
          <w:iCs/>
          <w:szCs w:val="21"/>
        </w:rPr>
        <w:t xml:space="preserve">. </w:t>
      </w:r>
      <w:r w:rsidR="00990FA1" w:rsidRPr="00990FA1">
        <w:rPr>
          <w:rFonts w:ascii="Times New Roman" w:hAnsi="Times New Roman" w:cs="Times New Roman"/>
          <w:szCs w:val="21"/>
        </w:rPr>
        <w:t>Bayesian Probabilistic Matrix Factorization Using Markov Chain Monte Carlo;</w:t>
      </w:r>
      <w:r w:rsidR="00774ED8" w:rsidRPr="00774ED8">
        <w:rPr>
          <w:rFonts w:ascii="Times New Roman" w:hAnsi="Times New Roman" w:cs="Times New Roman"/>
          <w:szCs w:val="21"/>
        </w:rPr>
        <w:t xml:space="preserve"> </w:t>
      </w:r>
      <w:r w:rsidR="00774ED8">
        <w:rPr>
          <w:rFonts w:ascii="Times New Roman" w:hAnsi="Times New Roman" w:cs="Times New Roman"/>
          <w:szCs w:val="21"/>
        </w:rPr>
        <w:t>I</w:t>
      </w:r>
      <w:r w:rsidR="00774ED8" w:rsidRPr="00774ED8">
        <w:rPr>
          <w:rFonts w:ascii="Times New Roman" w:hAnsi="Times New Roman" w:cs="Times New Roman"/>
          <w:szCs w:val="21"/>
        </w:rPr>
        <w:t xml:space="preserve">n </w:t>
      </w:r>
      <w:r w:rsidR="00774ED8" w:rsidRPr="006F3069">
        <w:rPr>
          <w:rFonts w:ascii="Times New Roman" w:hAnsi="Times New Roman" w:cs="Times New Roman"/>
          <w:i/>
          <w:iCs/>
          <w:szCs w:val="21"/>
        </w:rPr>
        <w:t>Proceedings of the 25 th International Conference on Machine Learning</w:t>
      </w:r>
      <w:r w:rsidR="00774ED8" w:rsidRPr="006F3069">
        <w:rPr>
          <w:rFonts w:ascii="Times New Roman" w:hAnsi="Times New Roman" w:cs="Times New Roman"/>
          <w:szCs w:val="21"/>
        </w:rPr>
        <w:t>,</w:t>
      </w:r>
      <w:r w:rsidR="00774ED8" w:rsidRPr="006F3069">
        <w:rPr>
          <w:rFonts w:ascii="Times New Roman" w:hAnsi="Times New Roman" w:cs="Times New Roman"/>
          <w:i/>
          <w:iCs/>
          <w:szCs w:val="21"/>
        </w:rPr>
        <w:t xml:space="preserve"> </w:t>
      </w:r>
      <w:r w:rsidR="00774ED8" w:rsidRPr="006F3069">
        <w:rPr>
          <w:rFonts w:ascii="Times New Roman" w:hAnsi="Times New Roman" w:cs="Times New Roman"/>
          <w:szCs w:val="21"/>
        </w:rPr>
        <w:t>Helsinki, Finland</w:t>
      </w:r>
      <w:r w:rsidR="00774ED8" w:rsidRPr="00774ED8">
        <w:rPr>
          <w:rFonts w:ascii="Times New Roman" w:hAnsi="Times New Roman" w:cs="Times New Roman"/>
          <w:szCs w:val="21"/>
        </w:rPr>
        <w:t xml:space="preserve">, </w:t>
      </w:r>
      <w:r w:rsidR="00774ED8" w:rsidRPr="006F3069">
        <w:rPr>
          <w:rFonts w:ascii="Times New Roman" w:hAnsi="Times New Roman" w:cs="Times New Roman"/>
          <w:b/>
          <w:bCs/>
          <w:szCs w:val="21"/>
        </w:rPr>
        <w:t>2008</w:t>
      </w:r>
      <w:r w:rsidR="00774ED8" w:rsidRPr="00774ED8">
        <w:rPr>
          <w:rFonts w:ascii="Times New Roman" w:hAnsi="Times New Roman" w:cs="Times New Roman"/>
          <w:szCs w:val="21"/>
        </w:rPr>
        <w:t>.</w:t>
      </w:r>
    </w:p>
    <w:p w14:paraId="439BFCE5" w14:textId="42451C04"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(36)</w:t>
      </w:r>
      <w:r w:rsidRPr="00A73246">
        <w:rPr>
          <w:rFonts w:ascii="Times New Roman" w:hAnsi="Times New Roman" w:cs="Times New Roman"/>
          <w:szCs w:val="21"/>
        </w:rPr>
        <w:tab/>
        <w:t xml:space="preserve">Blei, D. M.; Kucukelbir, A.; McAuliffe, J. D. Variational Inference: A Review for Statisticians. </w:t>
      </w:r>
      <w:r w:rsidRPr="00A73246">
        <w:rPr>
          <w:rFonts w:ascii="Times New Roman" w:hAnsi="Times New Roman" w:cs="Times New Roman"/>
          <w:i/>
          <w:iCs/>
          <w:szCs w:val="21"/>
        </w:rPr>
        <w:t>Journal of the American Statistical Association</w:t>
      </w:r>
      <w:r w:rsidRPr="00A73246">
        <w:rPr>
          <w:rFonts w:ascii="Times New Roman" w:hAnsi="Times New Roman" w:cs="Times New Roman"/>
          <w:szCs w:val="21"/>
        </w:rPr>
        <w:t xml:space="preserve"> </w:t>
      </w:r>
      <w:r w:rsidRPr="00A73246">
        <w:rPr>
          <w:rFonts w:ascii="Times New Roman" w:hAnsi="Times New Roman" w:cs="Times New Roman"/>
          <w:b/>
          <w:bCs/>
          <w:szCs w:val="21"/>
        </w:rPr>
        <w:t>2017</w:t>
      </w:r>
      <w:r w:rsidRPr="00A73246">
        <w:rPr>
          <w:rFonts w:ascii="Times New Roman" w:hAnsi="Times New Roman" w:cs="Times New Roman"/>
          <w:szCs w:val="21"/>
        </w:rPr>
        <w:t xml:space="preserve">, </w:t>
      </w:r>
      <w:r w:rsidRPr="00A73246">
        <w:rPr>
          <w:rFonts w:ascii="Times New Roman" w:hAnsi="Times New Roman" w:cs="Times New Roman"/>
          <w:i/>
          <w:iCs/>
          <w:szCs w:val="21"/>
        </w:rPr>
        <w:t>112</w:t>
      </w:r>
      <w:r w:rsidRPr="00A73246">
        <w:rPr>
          <w:rFonts w:ascii="Times New Roman" w:hAnsi="Times New Roman" w:cs="Times New Roman"/>
          <w:szCs w:val="21"/>
        </w:rPr>
        <w:t xml:space="preserve"> (518), 859–877.</w:t>
      </w:r>
    </w:p>
    <w:p w14:paraId="5241BF7F" w14:textId="370E5E96"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(37)</w:t>
      </w:r>
      <w:r w:rsidRPr="00A73246">
        <w:rPr>
          <w:rFonts w:ascii="Times New Roman" w:hAnsi="Times New Roman" w:cs="Times New Roman"/>
          <w:szCs w:val="21"/>
        </w:rPr>
        <w:tab/>
        <w:t xml:space="preserve">Zhang, C.; Bütepage, J.; Kjellström, H.; Mandt, S. Advances in Variational Inference. </w:t>
      </w:r>
      <w:r w:rsidR="006F3069">
        <w:rPr>
          <w:rFonts w:ascii="Times New Roman" w:hAnsi="Times New Roman" w:cs="Times New Roman"/>
          <w:szCs w:val="21"/>
        </w:rPr>
        <w:t xml:space="preserve">In </w:t>
      </w:r>
      <w:r w:rsidRPr="00A73246">
        <w:rPr>
          <w:rFonts w:ascii="Times New Roman" w:hAnsi="Times New Roman" w:cs="Times New Roman"/>
          <w:i/>
          <w:iCs/>
          <w:szCs w:val="21"/>
        </w:rPr>
        <w:t>IEEE Transactions on Pattern Analysis and Machine Intelligence</w:t>
      </w:r>
      <w:r w:rsidRPr="00A73246">
        <w:rPr>
          <w:rFonts w:ascii="Times New Roman" w:hAnsi="Times New Roman" w:cs="Times New Roman"/>
          <w:szCs w:val="21"/>
        </w:rPr>
        <w:t xml:space="preserve"> </w:t>
      </w:r>
      <w:r w:rsidRPr="00A73246">
        <w:rPr>
          <w:rFonts w:ascii="Times New Roman" w:hAnsi="Times New Roman" w:cs="Times New Roman"/>
          <w:b/>
          <w:bCs/>
          <w:szCs w:val="21"/>
        </w:rPr>
        <w:t>2019</w:t>
      </w:r>
      <w:r w:rsidRPr="00A73246">
        <w:rPr>
          <w:rFonts w:ascii="Times New Roman" w:hAnsi="Times New Roman" w:cs="Times New Roman"/>
          <w:szCs w:val="21"/>
        </w:rPr>
        <w:t xml:space="preserve">, </w:t>
      </w:r>
      <w:r w:rsidRPr="00A73246">
        <w:rPr>
          <w:rFonts w:ascii="Times New Roman" w:hAnsi="Times New Roman" w:cs="Times New Roman"/>
          <w:i/>
          <w:iCs/>
          <w:szCs w:val="21"/>
        </w:rPr>
        <w:t>41</w:t>
      </w:r>
      <w:r w:rsidRPr="00A73246">
        <w:rPr>
          <w:rFonts w:ascii="Times New Roman" w:hAnsi="Times New Roman" w:cs="Times New Roman"/>
          <w:szCs w:val="21"/>
        </w:rPr>
        <w:t xml:space="preserve"> (8), 2008–2026.</w:t>
      </w:r>
    </w:p>
    <w:p w14:paraId="3F5C50F7" w14:textId="61911FAE"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(38)</w:t>
      </w:r>
      <w:r w:rsidRPr="00A73246">
        <w:rPr>
          <w:rFonts w:ascii="Times New Roman" w:hAnsi="Times New Roman" w:cs="Times New Roman"/>
          <w:szCs w:val="21"/>
        </w:rPr>
        <w:tab/>
        <w:t>Blundell, C.; Cornebise, J.; Kavukcuoglu, K.; Wierstra, D. Weight Uncertainty in Neural Networks. arXiv May 21, 2015.</w:t>
      </w:r>
    </w:p>
    <w:p w14:paraId="539AE7CD" w14:textId="3D4F6F3E" w:rsidR="00A73246" w:rsidRPr="007B2C18"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(39)</w:t>
      </w:r>
      <w:r w:rsidRPr="00A73246">
        <w:rPr>
          <w:rFonts w:ascii="Times New Roman" w:hAnsi="Times New Roman" w:cs="Times New Roman"/>
          <w:szCs w:val="21"/>
        </w:rPr>
        <w:tab/>
        <w:t xml:space="preserve">Stanton, S.; Maddox, W.; Delbridge, I.; Wilson, A. G. Kernel Interpolation for Scalable Online Gaussian Processes. </w:t>
      </w:r>
      <w:r w:rsidR="007B2C18" w:rsidRPr="00A73246">
        <w:rPr>
          <w:rFonts w:ascii="Times New Roman" w:hAnsi="Times New Roman" w:cs="Times New Roman"/>
          <w:szCs w:val="21"/>
        </w:rPr>
        <w:t>arXiv</w:t>
      </w:r>
      <w:r w:rsidR="007B2C18" w:rsidRPr="007B2C18">
        <w:rPr>
          <w:rFonts w:ascii="Times New Roman" w:hAnsi="Times New Roman" w:cs="Times New Roman"/>
          <w:szCs w:val="21"/>
        </w:rPr>
        <w:t xml:space="preserve"> Mar</w:t>
      </w:r>
      <w:r w:rsidR="007B2C18">
        <w:rPr>
          <w:rFonts w:ascii="Times New Roman" w:hAnsi="Times New Roman" w:cs="Times New Roman"/>
          <w:szCs w:val="21"/>
        </w:rPr>
        <w:t>ch</w:t>
      </w:r>
      <w:r w:rsidR="007B2C18" w:rsidRPr="007B2C18">
        <w:rPr>
          <w:rFonts w:ascii="Times New Roman" w:hAnsi="Times New Roman" w:cs="Times New Roman"/>
          <w:szCs w:val="21"/>
        </w:rPr>
        <w:t xml:space="preserve"> 3</w:t>
      </w:r>
      <w:r w:rsidR="007B2C18">
        <w:rPr>
          <w:rFonts w:ascii="Times New Roman" w:hAnsi="Times New Roman" w:cs="Times New Roman"/>
          <w:szCs w:val="21"/>
        </w:rPr>
        <w:t xml:space="preserve">, </w:t>
      </w:r>
      <w:r w:rsidR="007B2C18" w:rsidRPr="007B2C18">
        <w:rPr>
          <w:rFonts w:ascii="Times New Roman" w:hAnsi="Times New Roman" w:cs="Times New Roman"/>
          <w:szCs w:val="21"/>
        </w:rPr>
        <w:t>2015</w:t>
      </w:r>
      <w:r w:rsidR="006F3069">
        <w:rPr>
          <w:rFonts w:ascii="Times New Roman" w:hAnsi="Times New Roman" w:cs="Times New Roman"/>
          <w:szCs w:val="21"/>
        </w:rPr>
        <w:t>.</w:t>
      </w:r>
    </w:p>
    <w:p w14:paraId="78BB75AA" w14:textId="0E527867"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(40)</w:t>
      </w:r>
      <w:r w:rsidRPr="00A73246">
        <w:rPr>
          <w:rFonts w:ascii="Times New Roman" w:hAnsi="Times New Roman" w:cs="Times New Roman"/>
          <w:szCs w:val="21"/>
        </w:rPr>
        <w:tab/>
        <w:t xml:space="preserve">Jain, S.; Liu, G.; Mueller, J.; Gifford, D. Maximizing Overall Diversity for Improved Uncertainty Estimates in Deep Ensembles. </w:t>
      </w:r>
      <w:r w:rsidR="007B2C18">
        <w:rPr>
          <w:rFonts w:ascii="Times New Roman" w:hAnsi="Times New Roman" w:cs="Times New Roman"/>
          <w:szCs w:val="21"/>
        </w:rPr>
        <w:t>I</w:t>
      </w:r>
      <w:r w:rsidR="007B2C18">
        <w:rPr>
          <w:rFonts w:ascii="Times New Roman" w:hAnsi="Times New Roman" w:cs="Times New Roman" w:hint="eastAsia"/>
          <w:szCs w:val="21"/>
        </w:rPr>
        <w:t>n</w:t>
      </w:r>
      <w:r w:rsidR="007B2C18">
        <w:rPr>
          <w:rFonts w:ascii="Times New Roman" w:hAnsi="Times New Roman" w:cs="Times New Roman"/>
          <w:szCs w:val="21"/>
        </w:rPr>
        <w:t xml:space="preserve"> </w:t>
      </w:r>
      <w:r w:rsidRPr="00A73246">
        <w:rPr>
          <w:rFonts w:ascii="Times New Roman" w:hAnsi="Times New Roman" w:cs="Times New Roman"/>
          <w:i/>
          <w:iCs/>
          <w:szCs w:val="21"/>
        </w:rPr>
        <w:t>Proceedings of the AAAI Conference on Artificial Intelligence</w:t>
      </w:r>
      <w:r w:rsidRPr="00A73246">
        <w:rPr>
          <w:rFonts w:ascii="Times New Roman" w:hAnsi="Times New Roman" w:cs="Times New Roman"/>
          <w:szCs w:val="21"/>
        </w:rPr>
        <w:t xml:space="preserve"> </w:t>
      </w:r>
      <w:r w:rsidRPr="00A73246">
        <w:rPr>
          <w:rFonts w:ascii="Times New Roman" w:hAnsi="Times New Roman" w:cs="Times New Roman"/>
          <w:b/>
          <w:bCs/>
          <w:szCs w:val="21"/>
        </w:rPr>
        <w:t>2020</w:t>
      </w:r>
      <w:r w:rsidRPr="00A73246">
        <w:rPr>
          <w:rFonts w:ascii="Times New Roman" w:hAnsi="Times New Roman" w:cs="Times New Roman"/>
          <w:szCs w:val="21"/>
        </w:rPr>
        <w:t xml:space="preserve">, </w:t>
      </w:r>
      <w:r w:rsidRPr="00A73246">
        <w:rPr>
          <w:rFonts w:ascii="Times New Roman" w:hAnsi="Times New Roman" w:cs="Times New Roman"/>
          <w:i/>
          <w:iCs/>
          <w:szCs w:val="21"/>
        </w:rPr>
        <w:t>34</w:t>
      </w:r>
      <w:r w:rsidRPr="00A73246">
        <w:rPr>
          <w:rFonts w:ascii="Times New Roman" w:hAnsi="Times New Roman" w:cs="Times New Roman"/>
          <w:szCs w:val="21"/>
        </w:rPr>
        <w:t xml:space="preserve"> (04), </w:t>
      </w:r>
      <w:r w:rsidR="006F3069">
        <w:rPr>
          <w:rFonts w:ascii="Times New Roman" w:hAnsi="Times New Roman" w:cs="Times New Roman"/>
          <w:szCs w:val="21"/>
        </w:rPr>
        <w:t xml:space="preserve">pp. </w:t>
      </w:r>
      <w:r w:rsidRPr="00A73246">
        <w:rPr>
          <w:rFonts w:ascii="Times New Roman" w:hAnsi="Times New Roman" w:cs="Times New Roman"/>
          <w:szCs w:val="21"/>
        </w:rPr>
        <w:t>4264–4271.</w:t>
      </w:r>
    </w:p>
    <w:p w14:paraId="4A9E04ED" w14:textId="0CE1B6A0"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(41)</w:t>
      </w:r>
      <w:r w:rsidRPr="00A73246">
        <w:rPr>
          <w:rFonts w:ascii="Times New Roman" w:hAnsi="Times New Roman" w:cs="Times New Roman"/>
          <w:szCs w:val="21"/>
        </w:rPr>
        <w:tab/>
        <w:t xml:space="preserve">Duan, T.; Anand, A.; Ding, D. Y.; Thai, K. K.; Basu, S.; Ng, A.; Schuler, A. NGBoost: Natural Gradient Boosting for Probabilistic Prediction. In </w:t>
      </w:r>
      <w:r w:rsidRPr="00A73246">
        <w:rPr>
          <w:rFonts w:ascii="Times New Roman" w:hAnsi="Times New Roman" w:cs="Times New Roman"/>
          <w:i/>
          <w:iCs/>
          <w:szCs w:val="21"/>
        </w:rPr>
        <w:t>Proceedings of the 37th International Conference on Machine Learning</w:t>
      </w:r>
      <w:r w:rsidRPr="00A73246">
        <w:rPr>
          <w:rFonts w:ascii="Times New Roman" w:hAnsi="Times New Roman" w:cs="Times New Roman"/>
          <w:szCs w:val="21"/>
        </w:rPr>
        <w:t xml:space="preserve">; PMLR, </w:t>
      </w:r>
      <w:r w:rsidRPr="006F3069">
        <w:rPr>
          <w:rFonts w:ascii="Times New Roman" w:hAnsi="Times New Roman" w:cs="Times New Roman"/>
          <w:b/>
          <w:bCs/>
          <w:szCs w:val="21"/>
        </w:rPr>
        <w:t>2020</w:t>
      </w:r>
      <w:r w:rsidRPr="00A73246">
        <w:rPr>
          <w:rFonts w:ascii="Times New Roman" w:hAnsi="Times New Roman" w:cs="Times New Roman"/>
          <w:szCs w:val="21"/>
        </w:rPr>
        <w:t>; pp</w:t>
      </w:r>
      <w:r w:rsidR="006F3069">
        <w:rPr>
          <w:rFonts w:ascii="Times New Roman" w:hAnsi="Times New Roman" w:cs="Times New Roman"/>
          <w:szCs w:val="21"/>
        </w:rPr>
        <w:t>.</w:t>
      </w:r>
      <w:r w:rsidRPr="00A73246">
        <w:rPr>
          <w:rFonts w:ascii="Times New Roman" w:hAnsi="Times New Roman" w:cs="Times New Roman"/>
          <w:szCs w:val="21"/>
        </w:rPr>
        <w:t xml:space="preserve"> 2690–2700.</w:t>
      </w:r>
    </w:p>
    <w:p w14:paraId="2B2FCFD7" w14:textId="426419D5"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(42)</w:t>
      </w:r>
      <w:r w:rsidRPr="00A73246">
        <w:rPr>
          <w:rFonts w:ascii="Times New Roman" w:hAnsi="Times New Roman" w:cs="Times New Roman"/>
          <w:szCs w:val="21"/>
        </w:rPr>
        <w:tab/>
        <w:t xml:space="preserve">Breiman, L. Bagging Predictors. </w:t>
      </w:r>
      <w:r w:rsidRPr="00A73246">
        <w:rPr>
          <w:rFonts w:ascii="Times New Roman" w:hAnsi="Times New Roman" w:cs="Times New Roman"/>
          <w:i/>
          <w:iCs/>
          <w:szCs w:val="21"/>
        </w:rPr>
        <w:t>Machine Learning</w:t>
      </w:r>
      <w:r w:rsidRPr="00A73246">
        <w:rPr>
          <w:rFonts w:ascii="Times New Roman" w:hAnsi="Times New Roman" w:cs="Times New Roman"/>
          <w:szCs w:val="21"/>
        </w:rPr>
        <w:t xml:space="preserve"> </w:t>
      </w:r>
      <w:r w:rsidRPr="00A73246">
        <w:rPr>
          <w:rFonts w:ascii="Times New Roman" w:hAnsi="Times New Roman" w:cs="Times New Roman"/>
          <w:b/>
          <w:bCs/>
          <w:szCs w:val="21"/>
        </w:rPr>
        <w:t>1996</w:t>
      </w:r>
      <w:r w:rsidRPr="00A73246">
        <w:rPr>
          <w:rFonts w:ascii="Times New Roman" w:hAnsi="Times New Roman" w:cs="Times New Roman"/>
          <w:szCs w:val="21"/>
        </w:rPr>
        <w:t xml:space="preserve">, </w:t>
      </w:r>
      <w:r w:rsidRPr="00A73246">
        <w:rPr>
          <w:rFonts w:ascii="Times New Roman" w:hAnsi="Times New Roman" w:cs="Times New Roman"/>
          <w:i/>
          <w:iCs/>
          <w:szCs w:val="21"/>
        </w:rPr>
        <w:t>24</w:t>
      </w:r>
      <w:r w:rsidRPr="00A73246">
        <w:rPr>
          <w:rFonts w:ascii="Times New Roman" w:hAnsi="Times New Roman" w:cs="Times New Roman"/>
          <w:szCs w:val="21"/>
        </w:rPr>
        <w:t xml:space="preserve"> (2), 123–140.</w:t>
      </w:r>
    </w:p>
    <w:p w14:paraId="6445397B" w14:textId="6ED0854A" w:rsidR="00A73246" w:rsidRPr="007B2C18" w:rsidRDefault="00A73246" w:rsidP="00A73246">
      <w:pPr>
        <w:pStyle w:val="af5"/>
        <w:spacing w:line="276" w:lineRule="auto"/>
      </w:pPr>
      <w:r w:rsidRPr="00A73246">
        <w:rPr>
          <w:rFonts w:ascii="Times New Roman" w:hAnsi="Times New Roman" w:cs="Times New Roman"/>
          <w:szCs w:val="21"/>
        </w:rPr>
        <w:t>(43)</w:t>
      </w:r>
      <w:r w:rsidRPr="00A73246">
        <w:rPr>
          <w:rFonts w:ascii="Times New Roman" w:hAnsi="Times New Roman" w:cs="Times New Roman"/>
          <w:szCs w:val="21"/>
        </w:rPr>
        <w:tab/>
        <w:t>Maddox, W. J.; Garipov, T.; Izmailov, P.; Vetrov, D.; Wilson, A. Fast Uncertainty Estimates and Bayesian Model Averaging of DNNs</w:t>
      </w:r>
      <w:r w:rsidR="007B2C18">
        <w:rPr>
          <w:rFonts w:ascii="Times New Roman" w:hAnsi="Times New Roman" w:cs="Times New Roman"/>
          <w:szCs w:val="21"/>
        </w:rPr>
        <w:t>.</w:t>
      </w:r>
      <w:r w:rsidR="007B2C18" w:rsidRPr="007B2C18">
        <w:t xml:space="preserve"> </w:t>
      </w:r>
      <w:r w:rsidR="007B2C18" w:rsidRPr="007B2C18">
        <w:rPr>
          <w:rFonts w:ascii="Times New Roman" w:hAnsi="Times New Roman" w:cs="Times New Roman"/>
        </w:rPr>
        <w:t>arXiv</w:t>
      </w:r>
      <w:r w:rsidR="007B2C18">
        <w:rPr>
          <w:rFonts w:hint="eastAsia"/>
        </w:rPr>
        <w:t xml:space="preserve"> </w:t>
      </w:r>
      <w:r w:rsidR="007B2C18" w:rsidRPr="007B2C18">
        <w:rPr>
          <w:rFonts w:ascii="Times New Roman" w:hAnsi="Times New Roman" w:cs="Times New Roman"/>
          <w:szCs w:val="21"/>
        </w:rPr>
        <w:t>May 19</w:t>
      </w:r>
      <w:r w:rsidR="00315778">
        <w:rPr>
          <w:rFonts w:ascii="Times New Roman" w:hAnsi="Times New Roman" w:cs="Times New Roman" w:hint="eastAsia"/>
          <w:szCs w:val="21"/>
        </w:rPr>
        <w:t>,</w:t>
      </w:r>
      <w:r w:rsidR="00315778">
        <w:rPr>
          <w:rFonts w:ascii="Times New Roman" w:hAnsi="Times New Roman" w:cs="Times New Roman"/>
          <w:szCs w:val="21"/>
        </w:rPr>
        <w:t xml:space="preserve"> </w:t>
      </w:r>
      <w:r w:rsidR="007B2C18" w:rsidRPr="007B2C18">
        <w:rPr>
          <w:rFonts w:ascii="Times New Roman" w:hAnsi="Times New Roman" w:cs="Times New Roman"/>
          <w:szCs w:val="21"/>
        </w:rPr>
        <w:t>2021</w:t>
      </w:r>
      <w:r w:rsidRPr="00A73246">
        <w:rPr>
          <w:rFonts w:ascii="Times New Roman" w:hAnsi="Times New Roman" w:cs="Times New Roman"/>
          <w:szCs w:val="21"/>
        </w:rPr>
        <w:t>.</w:t>
      </w:r>
    </w:p>
    <w:p w14:paraId="4EBAFD5F" w14:textId="53401522"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(44)</w:t>
      </w:r>
      <w:r w:rsidRPr="00A73246">
        <w:rPr>
          <w:rFonts w:ascii="Times New Roman" w:hAnsi="Times New Roman" w:cs="Times New Roman"/>
          <w:szCs w:val="21"/>
        </w:rPr>
        <w:tab/>
        <w:t>Sousa, M. Inductive Conformal Prediction: A Straightforward Introduction with Examples in Python. arXiv July 1, 2022.</w:t>
      </w:r>
    </w:p>
    <w:p w14:paraId="76970F9B" w14:textId="578D7795"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(45)</w:t>
      </w:r>
      <w:r w:rsidRPr="00A73246">
        <w:rPr>
          <w:rFonts w:ascii="Times New Roman" w:hAnsi="Times New Roman" w:cs="Times New Roman"/>
          <w:szCs w:val="21"/>
        </w:rPr>
        <w:tab/>
        <w:t xml:space="preserve">Vovk, V. Transductive Conformal Predictors. In </w:t>
      </w:r>
      <w:r w:rsidRPr="00A73246">
        <w:rPr>
          <w:rFonts w:ascii="Times New Roman" w:hAnsi="Times New Roman" w:cs="Times New Roman"/>
          <w:i/>
          <w:iCs/>
          <w:szCs w:val="21"/>
        </w:rPr>
        <w:t>Artificial Intelligence Applications and Innovations</w:t>
      </w:r>
      <w:r w:rsidRPr="00A73246">
        <w:rPr>
          <w:rFonts w:ascii="Times New Roman" w:hAnsi="Times New Roman" w:cs="Times New Roman"/>
          <w:szCs w:val="21"/>
        </w:rPr>
        <w:t xml:space="preserve">; </w:t>
      </w:r>
      <w:r w:rsidR="00315778" w:rsidRPr="00315778">
        <w:rPr>
          <w:rFonts w:ascii="Times New Roman" w:hAnsi="Times New Roman" w:cs="Times New Roman"/>
          <w:szCs w:val="21"/>
        </w:rPr>
        <w:t xml:space="preserve">AIAI 2013, IFIP AICT 412, </w:t>
      </w:r>
      <w:r w:rsidR="006F3069" w:rsidRPr="006F3069">
        <w:rPr>
          <w:rFonts w:ascii="Times New Roman" w:hAnsi="Times New Roman" w:cs="Times New Roman"/>
          <w:b/>
          <w:bCs/>
          <w:szCs w:val="21"/>
        </w:rPr>
        <w:t>2013</w:t>
      </w:r>
      <w:r w:rsidR="006F3069">
        <w:rPr>
          <w:rFonts w:ascii="Times New Roman" w:hAnsi="Times New Roman" w:cs="Times New Roman"/>
          <w:szCs w:val="21"/>
        </w:rPr>
        <w:t xml:space="preserve">; </w:t>
      </w:r>
      <w:r w:rsidR="00315778" w:rsidRPr="00315778">
        <w:rPr>
          <w:rFonts w:ascii="Times New Roman" w:hAnsi="Times New Roman" w:cs="Times New Roman"/>
          <w:szCs w:val="21"/>
        </w:rPr>
        <w:t>pp. 348–360.</w:t>
      </w:r>
    </w:p>
    <w:p w14:paraId="1C3EB54E" w14:textId="60F3ED2F"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(46)</w:t>
      </w:r>
      <w:r w:rsidRPr="00A73246">
        <w:rPr>
          <w:rFonts w:ascii="Times New Roman" w:hAnsi="Times New Roman" w:cs="Times New Roman"/>
          <w:szCs w:val="21"/>
        </w:rPr>
        <w:tab/>
        <w:t>Amini, A.; Schwarting, W.; Soleimany, A.; Rus, D. Deep Evidential Regression. arXiv November 24, 2020.</w:t>
      </w:r>
    </w:p>
    <w:p w14:paraId="2CBE3EE3" w14:textId="08DF04F6"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lastRenderedPageBreak/>
        <w:t>(47)</w:t>
      </w:r>
      <w:r w:rsidRPr="00A73246">
        <w:rPr>
          <w:rFonts w:ascii="Times New Roman" w:hAnsi="Times New Roman" w:cs="Times New Roman"/>
          <w:szCs w:val="21"/>
        </w:rPr>
        <w:tab/>
        <w:t>Sensoy, M.; Kaplan, L.; Kandemir, M. Evidential Deep Learning to Quantify Classification Uncertainty. arXiv October 31, 2018.</w:t>
      </w:r>
    </w:p>
    <w:p w14:paraId="197F643B" w14:textId="6FCDFE3B"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(48)</w:t>
      </w:r>
      <w:r w:rsidRPr="00A73246">
        <w:rPr>
          <w:rFonts w:ascii="Times New Roman" w:hAnsi="Times New Roman" w:cs="Times New Roman"/>
          <w:szCs w:val="21"/>
        </w:rPr>
        <w:tab/>
        <w:t xml:space="preserve">Jensen, O.; Brockmöller, J.; Dücker, C. Identification of Novel High-Affinity Substrates of OCT1 Using Machine Learning-Guided Virtual Screening and Experimental Validation. </w:t>
      </w:r>
      <w:r w:rsidRPr="00A73246">
        <w:rPr>
          <w:rFonts w:ascii="Times New Roman" w:hAnsi="Times New Roman" w:cs="Times New Roman"/>
          <w:i/>
          <w:iCs/>
          <w:szCs w:val="21"/>
        </w:rPr>
        <w:t>J. Med. Chem.</w:t>
      </w:r>
      <w:r w:rsidRPr="00A73246">
        <w:rPr>
          <w:rFonts w:ascii="Times New Roman" w:hAnsi="Times New Roman" w:cs="Times New Roman"/>
          <w:szCs w:val="21"/>
        </w:rPr>
        <w:t xml:space="preserve"> </w:t>
      </w:r>
      <w:r w:rsidRPr="00A73246">
        <w:rPr>
          <w:rFonts w:ascii="Times New Roman" w:hAnsi="Times New Roman" w:cs="Times New Roman"/>
          <w:b/>
          <w:bCs/>
          <w:szCs w:val="21"/>
        </w:rPr>
        <w:t>2021</w:t>
      </w:r>
      <w:r w:rsidRPr="00A73246">
        <w:rPr>
          <w:rFonts w:ascii="Times New Roman" w:hAnsi="Times New Roman" w:cs="Times New Roman"/>
          <w:szCs w:val="21"/>
        </w:rPr>
        <w:t xml:space="preserve">, </w:t>
      </w:r>
      <w:r w:rsidRPr="00A73246">
        <w:rPr>
          <w:rFonts w:ascii="Times New Roman" w:hAnsi="Times New Roman" w:cs="Times New Roman"/>
          <w:i/>
          <w:iCs/>
          <w:szCs w:val="21"/>
        </w:rPr>
        <w:t>64</w:t>
      </w:r>
      <w:r w:rsidRPr="00A73246">
        <w:rPr>
          <w:rFonts w:ascii="Times New Roman" w:hAnsi="Times New Roman" w:cs="Times New Roman"/>
          <w:szCs w:val="21"/>
        </w:rPr>
        <w:t xml:space="preserve"> (5), 2762–2776.</w:t>
      </w:r>
    </w:p>
    <w:p w14:paraId="4734F623" w14:textId="4C9EFE04"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(49)</w:t>
      </w:r>
      <w:r w:rsidRPr="00A73246">
        <w:rPr>
          <w:rFonts w:ascii="Times New Roman" w:hAnsi="Times New Roman" w:cs="Times New Roman"/>
          <w:szCs w:val="21"/>
        </w:rPr>
        <w:tab/>
        <w:t xml:space="preserve">Mendolia, I.; Contino, S.; De Simone, G.; Perricone, U.; Pirrone, R. EMBER—Embedding Multiple Molecular Fingerprints for Virtual Screening. </w:t>
      </w:r>
      <w:r w:rsidRPr="00A73246">
        <w:rPr>
          <w:rFonts w:ascii="Times New Roman" w:hAnsi="Times New Roman" w:cs="Times New Roman"/>
          <w:i/>
          <w:iCs/>
          <w:szCs w:val="21"/>
        </w:rPr>
        <w:t>International Journal of Molecular Sciences</w:t>
      </w:r>
      <w:r w:rsidRPr="00A73246">
        <w:rPr>
          <w:rFonts w:ascii="Times New Roman" w:hAnsi="Times New Roman" w:cs="Times New Roman"/>
          <w:szCs w:val="21"/>
        </w:rPr>
        <w:t xml:space="preserve"> </w:t>
      </w:r>
      <w:r w:rsidRPr="00A73246">
        <w:rPr>
          <w:rFonts w:ascii="Times New Roman" w:hAnsi="Times New Roman" w:cs="Times New Roman"/>
          <w:b/>
          <w:bCs/>
          <w:szCs w:val="21"/>
        </w:rPr>
        <w:t>2022</w:t>
      </w:r>
      <w:r w:rsidRPr="00A73246">
        <w:rPr>
          <w:rFonts w:ascii="Times New Roman" w:hAnsi="Times New Roman" w:cs="Times New Roman"/>
          <w:szCs w:val="21"/>
        </w:rPr>
        <w:t xml:space="preserve">, </w:t>
      </w:r>
      <w:r w:rsidRPr="00A73246">
        <w:rPr>
          <w:rFonts w:ascii="Times New Roman" w:hAnsi="Times New Roman" w:cs="Times New Roman"/>
          <w:i/>
          <w:iCs/>
          <w:szCs w:val="21"/>
        </w:rPr>
        <w:t>23</w:t>
      </w:r>
      <w:r w:rsidRPr="00A73246">
        <w:rPr>
          <w:rFonts w:ascii="Times New Roman" w:hAnsi="Times New Roman" w:cs="Times New Roman"/>
          <w:szCs w:val="21"/>
        </w:rPr>
        <w:t xml:space="preserve"> (4), 2156.</w:t>
      </w:r>
    </w:p>
    <w:p w14:paraId="55D37A39" w14:textId="0A83BE8A"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(50)</w:t>
      </w:r>
      <w:r w:rsidRPr="00A73246">
        <w:rPr>
          <w:rFonts w:ascii="Times New Roman" w:hAnsi="Times New Roman" w:cs="Times New Roman"/>
          <w:szCs w:val="21"/>
        </w:rPr>
        <w:tab/>
        <w:t xml:space="preserve">Rogers, D.; Hahn, M. Extended-Connectivity Fingerprints. </w:t>
      </w:r>
      <w:r w:rsidRPr="00A73246">
        <w:rPr>
          <w:rFonts w:ascii="Times New Roman" w:hAnsi="Times New Roman" w:cs="Times New Roman"/>
          <w:i/>
          <w:iCs/>
          <w:szCs w:val="21"/>
        </w:rPr>
        <w:t>J. Chem. Inf. Model.</w:t>
      </w:r>
      <w:r w:rsidRPr="00A73246">
        <w:rPr>
          <w:rFonts w:ascii="Times New Roman" w:hAnsi="Times New Roman" w:cs="Times New Roman"/>
          <w:szCs w:val="21"/>
        </w:rPr>
        <w:t xml:space="preserve"> </w:t>
      </w:r>
      <w:r w:rsidRPr="00A73246">
        <w:rPr>
          <w:rFonts w:ascii="Times New Roman" w:hAnsi="Times New Roman" w:cs="Times New Roman"/>
          <w:b/>
          <w:bCs/>
          <w:szCs w:val="21"/>
        </w:rPr>
        <w:t>2010</w:t>
      </w:r>
      <w:r w:rsidRPr="00A73246">
        <w:rPr>
          <w:rFonts w:ascii="Times New Roman" w:hAnsi="Times New Roman" w:cs="Times New Roman"/>
          <w:szCs w:val="21"/>
        </w:rPr>
        <w:t xml:space="preserve">, </w:t>
      </w:r>
      <w:r w:rsidRPr="00A73246">
        <w:rPr>
          <w:rFonts w:ascii="Times New Roman" w:hAnsi="Times New Roman" w:cs="Times New Roman"/>
          <w:i/>
          <w:iCs/>
          <w:szCs w:val="21"/>
        </w:rPr>
        <w:t>50</w:t>
      </w:r>
      <w:r w:rsidRPr="00A73246">
        <w:rPr>
          <w:rFonts w:ascii="Times New Roman" w:hAnsi="Times New Roman" w:cs="Times New Roman"/>
          <w:szCs w:val="21"/>
        </w:rPr>
        <w:t xml:space="preserve"> (5), 742–754.</w:t>
      </w:r>
    </w:p>
    <w:p w14:paraId="2D04D0EC" w14:textId="442012B2"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(51)</w:t>
      </w:r>
      <w:r w:rsidRPr="00A73246">
        <w:rPr>
          <w:rFonts w:ascii="Times New Roman" w:hAnsi="Times New Roman" w:cs="Times New Roman"/>
          <w:szCs w:val="21"/>
        </w:rPr>
        <w:tab/>
        <w:t xml:space="preserve">Kukreja, S. L.; Löfberg, J.; Brenner, M. J. A LEAST ABSOLUTE SHRINKAGE AND SELECTION OPERATOR (LASSO) FOR NONLINEAR SYSTEM IDENTIFICATION. </w:t>
      </w:r>
      <w:r w:rsidRPr="00A73246">
        <w:rPr>
          <w:rFonts w:ascii="Times New Roman" w:hAnsi="Times New Roman" w:cs="Times New Roman"/>
          <w:i/>
          <w:iCs/>
          <w:szCs w:val="21"/>
        </w:rPr>
        <w:t>IFAC Proceedings Volumes</w:t>
      </w:r>
      <w:r w:rsidRPr="00A73246">
        <w:rPr>
          <w:rFonts w:ascii="Times New Roman" w:hAnsi="Times New Roman" w:cs="Times New Roman"/>
          <w:szCs w:val="21"/>
        </w:rPr>
        <w:t xml:space="preserve"> </w:t>
      </w:r>
      <w:r w:rsidRPr="00A73246">
        <w:rPr>
          <w:rFonts w:ascii="Times New Roman" w:hAnsi="Times New Roman" w:cs="Times New Roman"/>
          <w:b/>
          <w:bCs/>
          <w:szCs w:val="21"/>
        </w:rPr>
        <w:t>2006</w:t>
      </w:r>
      <w:r w:rsidRPr="00A73246">
        <w:rPr>
          <w:rFonts w:ascii="Times New Roman" w:hAnsi="Times New Roman" w:cs="Times New Roman"/>
          <w:szCs w:val="21"/>
        </w:rPr>
        <w:t xml:space="preserve">, </w:t>
      </w:r>
      <w:r w:rsidRPr="00A73246">
        <w:rPr>
          <w:rFonts w:ascii="Times New Roman" w:hAnsi="Times New Roman" w:cs="Times New Roman"/>
          <w:i/>
          <w:iCs/>
          <w:szCs w:val="21"/>
        </w:rPr>
        <w:t>39</w:t>
      </w:r>
      <w:r w:rsidRPr="00A73246">
        <w:rPr>
          <w:rFonts w:ascii="Times New Roman" w:hAnsi="Times New Roman" w:cs="Times New Roman"/>
          <w:szCs w:val="21"/>
        </w:rPr>
        <w:t xml:space="preserve"> (1), </w:t>
      </w:r>
      <w:r w:rsidR="006F3069">
        <w:rPr>
          <w:rFonts w:ascii="Times New Roman" w:hAnsi="Times New Roman" w:cs="Times New Roman"/>
          <w:szCs w:val="21"/>
        </w:rPr>
        <w:t xml:space="preserve">pp. </w:t>
      </w:r>
      <w:r w:rsidRPr="00A73246">
        <w:rPr>
          <w:rFonts w:ascii="Times New Roman" w:hAnsi="Times New Roman" w:cs="Times New Roman"/>
          <w:szCs w:val="21"/>
        </w:rPr>
        <w:t>814–819</w:t>
      </w:r>
      <w:r w:rsidR="00EA16C0">
        <w:rPr>
          <w:rFonts w:ascii="Times New Roman" w:hAnsi="Times New Roman" w:cs="Times New Roman"/>
          <w:szCs w:val="21"/>
        </w:rPr>
        <w:t>.</w:t>
      </w:r>
    </w:p>
    <w:p w14:paraId="2CCFBD03" w14:textId="0B9848C9"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(52)</w:t>
      </w:r>
      <w:r w:rsidRPr="00A73246">
        <w:rPr>
          <w:rFonts w:ascii="Times New Roman" w:hAnsi="Times New Roman" w:cs="Times New Roman"/>
          <w:szCs w:val="21"/>
        </w:rPr>
        <w:tab/>
        <w:t xml:space="preserve">Zhang, F.; Liu, W.; Huang, J.; Chen, Q.; Wang, D.; Zou, L.; Zhao, Y.; Zhang, W.; Xu, J.; Chen, H.; Ge, G. Inhibition of Drug-Metabolizing Enzymes by Jingyin Granules: Implications of Herb–Drug Interactions in Antiviral Therapy. </w:t>
      </w:r>
      <w:r w:rsidRPr="00A73246">
        <w:rPr>
          <w:rFonts w:ascii="Times New Roman" w:hAnsi="Times New Roman" w:cs="Times New Roman"/>
          <w:i/>
          <w:iCs/>
          <w:szCs w:val="21"/>
        </w:rPr>
        <w:t>Acta Pharmacol Sin</w:t>
      </w:r>
      <w:r w:rsidRPr="00A73246">
        <w:rPr>
          <w:rFonts w:ascii="Times New Roman" w:hAnsi="Times New Roman" w:cs="Times New Roman"/>
          <w:szCs w:val="21"/>
        </w:rPr>
        <w:t xml:space="preserve"> </w:t>
      </w:r>
      <w:r w:rsidRPr="00A73246">
        <w:rPr>
          <w:rFonts w:ascii="Times New Roman" w:hAnsi="Times New Roman" w:cs="Times New Roman"/>
          <w:b/>
          <w:bCs/>
          <w:szCs w:val="21"/>
        </w:rPr>
        <w:t>2022</w:t>
      </w:r>
      <w:r w:rsidRPr="00A73246">
        <w:rPr>
          <w:rFonts w:ascii="Times New Roman" w:hAnsi="Times New Roman" w:cs="Times New Roman"/>
          <w:szCs w:val="21"/>
        </w:rPr>
        <w:t xml:space="preserve">, </w:t>
      </w:r>
      <w:r w:rsidRPr="00A73246">
        <w:rPr>
          <w:rFonts w:ascii="Times New Roman" w:hAnsi="Times New Roman" w:cs="Times New Roman"/>
          <w:i/>
          <w:iCs/>
          <w:szCs w:val="21"/>
        </w:rPr>
        <w:t>43</w:t>
      </w:r>
      <w:r w:rsidRPr="00A73246">
        <w:rPr>
          <w:rFonts w:ascii="Times New Roman" w:hAnsi="Times New Roman" w:cs="Times New Roman"/>
          <w:szCs w:val="21"/>
        </w:rPr>
        <w:t xml:space="preserve"> (4), 1072–1081.</w:t>
      </w:r>
    </w:p>
    <w:p w14:paraId="3892D64F" w14:textId="6C2CEB95"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(53)</w:t>
      </w:r>
      <w:r w:rsidRPr="00A73246">
        <w:rPr>
          <w:rFonts w:ascii="Times New Roman" w:hAnsi="Times New Roman" w:cs="Times New Roman"/>
          <w:szCs w:val="21"/>
        </w:rPr>
        <w:tab/>
        <w:t xml:space="preserve">Ning, J.; Wang, W.; Ge, G.; Chu, P.; Long, F.; Yang, Y.; Peng, Y.; Feng, L.; Ma, X.; James, T. D. Target Enzyme‐Activated Two‐Photon Fluorescent Probes: A Case Study of CYP3A4 Using a Two‐Dimensional Design Strategy. </w:t>
      </w:r>
      <w:r w:rsidRPr="00A73246">
        <w:rPr>
          <w:rFonts w:ascii="Times New Roman" w:hAnsi="Times New Roman" w:cs="Times New Roman"/>
          <w:i/>
          <w:iCs/>
          <w:szCs w:val="21"/>
        </w:rPr>
        <w:t>Angew. Chem. Int. Ed.</w:t>
      </w:r>
      <w:r w:rsidRPr="00A73246">
        <w:rPr>
          <w:rFonts w:ascii="Times New Roman" w:hAnsi="Times New Roman" w:cs="Times New Roman"/>
          <w:szCs w:val="21"/>
        </w:rPr>
        <w:t xml:space="preserve"> </w:t>
      </w:r>
      <w:r w:rsidRPr="00A73246">
        <w:rPr>
          <w:rFonts w:ascii="Times New Roman" w:hAnsi="Times New Roman" w:cs="Times New Roman"/>
          <w:b/>
          <w:bCs/>
          <w:szCs w:val="21"/>
        </w:rPr>
        <w:t>2019</w:t>
      </w:r>
      <w:r w:rsidRPr="00A73246">
        <w:rPr>
          <w:rFonts w:ascii="Times New Roman" w:hAnsi="Times New Roman" w:cs="Times New Roman"/>
          <w:szCs w:val="21"/>
        </w:rPr>
        <w:t xml:space="preserve">, </w:t>
      </w:r>
      <w:r w:rsidRPr="00A73246">
        <w:rPr>
          <w:rFonts w:ascii="Times New Roman" w:hAnsi="Times New Roman" w:cs="Times New Roman"/>
          <w:i/>
          <w:iCs/>
          <w:szCs w:val="21"/>
        </w:rPr>
        <w:t>58</w:t>
      </w:r>
      <w:r w:rsidRPr="00A73246">
        <w:rPr>
          <w:rFonts w:ascii="Times New Roman" w:hAnsi="Times New Roman" w:cs="Times New Roman"/>
          <w:szCs w:val="21"/>
        </w:rPr>
        <w:t xml:space="preserve"> (29), 9959–9963.</w:t>
      </w:r>
    </w:p>
    <w:p w14:paraId="743473B5" w14:textId="1256A58C"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(54)</w:t>
      </w:r>
      <w:r w:rsidRPr="00A73246">
        <w:rPr>
          <w:rFonts w:ascii="Times New Roman" w:hAnsi="Times New Roman" w:cs="Times New Roman"/>
          <w:szCs w:val="21"/>
        </w:rPr>
        <w:tab/>
        <w:t xml:space="preserve">Wang, D.; Wu, Z.; Shen, C.; Bao, L.; Luo, H.; Wang, Z.; Yao, H.; Kong, D.-X.; Luo, C.; Hou, T. Learning with Uncertainty to Accelerate the Discovery of Histone Lysine-Specific Demethylase 1A (KDM1A/LSD1) Inhibitors. </w:t>
      </w:r>
      <w:r w:rsidRPr="00A73246">
        <w:rPr>
          <w:rFonts w:ascii="Times New Roman" w:hAnsi="Times New Roman" w:cs="Times New Roman"/>
          <w:i/>
          <w:iCs/>
          <w:szCs w:val="21"/>
        </w:rPr>
        <w:t>Briefings in Bioinformatics</w:t>
      </w:r>
      <w:r w:rsidRPr="00A73246">
        <w:rPr>
          <w:rFonts w:ascii="Times New Roman" w:hAnsi="Times New Roman" w:cs="Times New Roman"/>
          <w:szCs w:val="21"/>
        </w:rPr>
        <w:t xml:space="preserve"> </w:t>
      </w:r>
      <w:r w:rsidRPr="00A73246">
        <w:rPr>
          <w:rFonts w:ascii="Times New Roman" w:hAnsi="Times New Roman" w:cs="Times New Roman"/>
          <w:b/>
          <w:bCs/>
          <w:szCs w:val="21"/>
        </w:rPr>
        <w:t>2022</w:t>
      </w:r>
      <w:r w:rsidRPr="00A73246">
        <w:rPr>
          <w:rFonts w:ascii="Times New Roman" w:hAnsi="Times New Roman" w:cs="Times New Roman"/>
          <w:szCs w:val="21"/>
        </w:rPr>
        <w:t>, bbac592.</w:t>
      </w:r>
    </w:p>
    <w:p w14:paraId="1B47CCE2" w14:textId="6BB666AA" w:rsidR="00A73246" w:rsidRPr="00A73246" w:rsidRDefault="00A73246" w:rsidP="00A73246">
      <w:pPr>
        <w:pStyle w:val="af5"/>
        <w:spacing w:line="276" w:lineRule="auto"/>
        <w:rPr>
          <w:rFonts w:ascii="Times New Roman" w:hAnsi="Times New Roman" w:cs="Times New Roman"/>
          <w:szCs w:val="21"/>
        </w:rPr>
      </w:pPr>
      <w:r w:rsidRPr="00A73246">
        <w:rPr>
          <w:rFonts w:ascii="Times New Roman" w:hAnsi="Times New Roman" w:cs="Times New Roman"/>
          <w:szCs w:val="21"/>
        </w:rPr>
        <w:t>(55)</w:t>
      </w:r>
      <w:r w:rsidRPr="00A73246">
        <w:rPr>
          <w:rFonts w:ascii="Times New Roman" w:hAnsi="Times New Roman" w:cs="Times New Roman"/>
          <w:szCs w:val="21"/>
        </w:rPr>
        <w:tab/>
        <w:t xml:space="preserve">Kuleshov, V.; Fenner, N.; Ermon, S. !!46 Accurate Uncertainties for Deep Learning Using Calibrated Regression. In </w:t>
      </w:r>
      <w:r w:rsidRPr="00A73246">
        <w:rPr>
          <w:rFonts w:ascii="Times New Roman" w:hAnsi="Times New Roman" w:cs="Times New Roman"/>
          <w:i/>
          <w:iCs/>
          <w:szCs w:val="21"/>
        </w:rPr>
        <w:t>Proceedings of the 35th International Conference on Machine Learning</w:t>
      </w:r>
      <w:r w:rsidRPr="00A73246">
        <w:rPr>
          <w:rFonts w:ascii="Times New Roman" w:hAnsi="Times New Roman" w:cs="Times New Roman"/>
          <w:szCs w:val="21"/>
        </w:rPr>
        <w:t xml:space="preserve">; PMLR, </w:t>
      </w:r>
      <w:r w:rsidRPr="006F3069">
        <w:rPr>
          <w:rFonts w:ascii="Times New Roman" w:hAnsi="Times New Roman" w:cs="Times New Roman"/>
          <w:b/>
          <w:bCs/>
          <w:szCs w:val="21"/>
        </w:rPr>
        <w:t>2018</w:t>
      </w:r>
      <w:r w:rsidRPr="00A73246">
        <w:rPr>
          <w:rFonts w:ascii="Times New Roman" w:hAnsi="Times New Roman" w:cs="Times New Roman"/>
          <w:szCs w:val="21"/>
        </w:rPr>
        <w:t>; pp</w:t>
      </w:r>
      <w:r w:rsidR="006F3069">
        <w:rPr>
          <w:rFonts w:ascii="Times New Roman" w:hAnsi="Times New Roman" w:cs="Times New Roman"/>
          <w:szCs w:val="21"/>
        </w:rPr>
        <w:t xml:space="preserve">. </w:t>
      </w:r>
      <w:r w:rsidRPr="00A73246">
        <w:rPr>
          <w:rFonts w:ascii="Times New Roman" w:hAnsi="Times New Roman" w:cs="Times New Roman"/>
          <w:szCs w:val="21"/>
        </w:rPr>
        <w:t>2796–2804.</w:t>
      </w:r>
    </w:p>
    <w:p w14:paraId="23D63EF8" w14:textId="08E1B229" w:rsidR="00A4429F" w:rsidRPr="00A4429F" w:rsidRDefault="00652CD6" w:rsidP="00A73246">
      <w:pPr>
        <w:pStyle w:val="af0"/>
        <w:spacing w:line="276" w:lineRule="auto"/>
        <w:ind w:firstLineChars="0" w:firstLine="0"/>
        <w:rPr>
          <w:rFonts w:ascii="Times New Roman" w:hAnsi="Times New Roman" w:cs="Times New Roman"/>
          <w:sz w:val="24"/>
          <w:szCs w:val="24"/>
        </w:rPr>
      </w:pPr>
      <w:r w:rsidRPr="00A73246">
        <w:rPr>
          <w:rFonts w:ascii="Times New Roman" w:hAnsi="Times New Roman" w:cs="Times New Roman"/>
          <w:szCs w:val="21"/>
        </w:rPr>
        <w:fldChar w:fldCharType="end"/>
      </w:r>
    </w:p>
    <w:sectPr w:rsidR="00A4429F" w:rsidRPr="00A4429F">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8D9A6" w14:textId="77777777" w:rsidR="00F33E2E" w:rsidRDefault="00F33E2E" w:rsidP="00590CB8">
      <w:r>
        <w:separator/>
      </w:r>
    </w:p>
  </w:endnote>
  <w:endnote w:type="continuationSeparator" w:id="0">
    <w:p w14:paraId="6B810CF0" w14:textId="77777777" w:rsidR="00F33E2E" w:rsidRDefault="00F33E2E" w:rsidP="00590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1E580" w14:textId="77777777" w:rsidR="00F33E2E" w:rsidRDefault="00F33E2E" w:rsidP="00590CB8">
      <w:r>
        <w:separator/>
      </w:r>
    </w:p>
  </w:footnote>
  <w:footnote w:type="continuationSeparator" w:id="0">
    <w:p w14:paraId="4E27D183" w14:textId="77777777" w:rsidR="00F33E2E" w:rsidRDefault="00F33E2E" w:rsidP="00590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E6D0E"/>
    <w:multiLevelType w:val="multilevel"/>
    <w:tmpl w:val="09BE6D0E"/>
    <w:lvl w:ilvl="0">
      <w:start w:val="1"/>
      <w:numFmt w:val="decimal"/>
      <w:lvlText w:val="%1."/>
      <w:lvlJc w:val="left"/>
      <w:pPr>
        <w:ind w:left="6455" w:hanging="360"/>
      </w:pPr>
      <w:rPr>
        <w:rFonts w:hint="default"/>
      </w:rPr>
    </w:lvl>
    <w:lvl w:ilvl="1">
      <w:start w:val="1"/>
      <w:numFmt w:val="decimal"/>
      <w:isLgl/>
      <w:lvlText w:val="%1.%2"/>
      <w:lvlJc w:val="left"/>
      <w:pPr>
        <w:ind w:left="720" w:hanging="360"/>
      </w:pPr>
      <w:rPr>
        <w:rFonts w:eastAsiaTheme="minorEastAsia" w:hint="default"/>
      </w:rPr>
    </w:lvl>
    <w:lvl w:ilvl="2">
      <w:start w:val="1"/>
      <w:numFmt w:val="decimal"/>
      <w:isLgl/>
      <w:lvlText w:val="%1.%2.%3"/>
      <w:lvlJc w:val="left"/>
      <w:pPr>
        <w:ind w:left="1440" w:hanging="720"/>
      </w:pPr>
      <w:rPr>
        <w:rFonts w:eastAsiaTheme="minorEastAsia" w:hint="default"/>
      </w:rPr>
    </w:lvl>
    <w:lvl w:ilvl="3">
      <w:start w:val="1"/>
      <w:numFmt w:val="decimal"/>
      <w:isLgl/>
      <w:lvlText w:val="%1.%2.%3.%4"/>
      <w:lvlJc w:val="left"/>
      <w:pPr>
        <w:ind w:left="1800" w:hanging="720"/>
      </w:pPr>
      <w:rPr>
        <w:rFonts w:eastAsiaTheme="minorEastAsia" w:hint="default"/>
      </w:rPr>
    </w:lvl>
    <w:lvl w:ilvl="4">
      <w:start w:val="1"/>
      <w:numFmt w:val="decimal"/>
      <w:isLgl/>
      <w:lvlText w:val="%1.%2.%3.%4.%5"/>
      <w:lvlJc w:val="left"/>
      <w:pPr>
        <w:ind w:left="2520" w:hanging="1080"/>
      </w:pPr>
      <w:rPr>
        <w:rFonts w:eastAsiaTheme="minorEastAsia" w:hint="default"/>
      </w:rPr>
    </w:lvl>
    <w:lvl w:ilvl="5">
      <w:start w:val="1"/>
      <w:numFmt w:val="decimal"/>
      <w:isLgl/>
      <w:lvlText w:val="%1.%2.%3.%4.%5.%6"/>
      <w:lvlJc w:val="left"/>
      <w:pPr>
        <w:ind w:left="2880" w:hanging="1080"/>
      </w:pPr>
      <w:rPr>
        <w:rFonts w:eastAsiaTheme="minorEastAsia" w:hint="default"/>
      </w:rPr>
    </w:lvl>
    <w:lvl w:ilvl="6">
      <w:start w:val="1"/>
      <w:numFmt w:val="decimal"/>
      <w:isLgl/>
      <w:lvlText w:val="%1.%2.%3.%4.%5.%6.%7"/>
      <w:lvlJc w:val="left"/>
      <w:pPr>
        <w:ind w:left="3600" w:hanging="1440"/>
      </w:pPr>
      <w:rPr>
        <w:rFonts w:eastAsiaTheme="minorEastAsia" w:hint="default"/>
      </w:rPr>
    </w:lvl>
    <w:lvl w:ilvl="7">
      <w:start w:val="1"/>
      <w:numFmt w:val="decimal"/>
      <w:isLgl/>
      <w:lvlText w:val="%1.%2.%3.%4.%5.%6.%7.%8"/>
      <w:lvlJc w:val="left"/>
      <w:pPr>
        <w:ind w:left="3960" w:hanging="1440"/>
      </w:pPr>
      <w:rPr>
        <w:rFonts w:eastAsiaTheme="minorEastAsia" w:hint="default"/>
      </w:rPr>
    </w:lvl>
    <w:lvl w:ilvl="8">
      <w:start w:val="1"/>
      <w:numFmt w:val="decimal"/>
      <w:isLgl/>
      <w:lvlText w:val="%1.%2.%3.%4.%5.%6.%7.%8.%9"/>
      <w:lvlJc w:val="left"/>
      <w:pPr>
        <w:ind w:left="4680" w:hanging="1800"/>
      </w:pPr>
      <w:rPr>
        <w:rFonts w:eastAsiaTheme="minorEastAsia" w:hint="default"/>
      </w:rPr>
    </w:lvl>
  </w:abstractNum>
  <w:abstractNum w:abstractNumId="1" w15:restartNumberingAfterBreak="0">
    <w:nsid w:val="1E7809AC"/>
    <w:multiLevelType w:val="multilevel"/>
    <w:tmpl w:val="1E7809AC"/>
    <w:lvl w:ilvl="0">
      <w:start w:val="1"/>
      <w:numFmt w:val="decimal"/>
      <w:lvlText w:val="%1)"/>
      <w:lvlJc w:val="left"/>
      <w:pPr>
        <w:ind w:left="570" w:hanging="360"/>
      </w:pPr>
      <w:rPr>
        <w:rFonts w:hint="default"/>
      </w:rPr>
    </w:lvl>
    <w:lvl w:ilvl="1">
      <w:start w:val="1"/>
      <w:numFmt w:val="lowerLetter"/>
      <w:lvlText w:val="%2)"/>
      <w:lvlJc w:val="left"/>
      <w:pPr>
        <w:ind w:left="1090" w:hanging="440"/>
      </w:pPr>
    </w:lvl>
    <w:lvl w:ilvl="2">
      <w:start w:val="1"/>
      <w:numFmt w:val="lowerRoman"/>
      <w:lvlText w:val="%3."/>
      <w:lvlJc w:val="right"/>
      <w:pPr>
        <w:ind w:left="1530" w:hanging="440"/>
      </w:pPr>
    </w:lvl>
    <w:lvl w:ilvl="3">
      <w:start w:val="1"/>
      <w:numFmt w:val="decimal"/>
      <w:lvlText w:val="%4."/>
      <w:lvlJc w:val="left"/>
      <w:pPr>
        <w:ind w:left="1970" w:hanging="440"/>
      </w:pPr>
    </w:lvl>
    <w:lvl w:ilvl="4">
      <w:start w:val="1"/>
      <w:numFmt w:val="lowerLetter"/>
      <w:lvlText w:val="%5)"/>
      <w:lvlJc w:val="left"/>
      <w:pPr>
        <w:ind w:left="2410" w:hanging="440"/>
      </w:pPr>
    </w:lvl>
    <w:lvl w:ilvl="5">
      <w:start w:val="1"/>
      <w:numFmt w:val="lowerRoman"/>
      <w:lvlText w:val="%6."/>
      <w:lvlJc w:val="right"/>
      <w:pPr>
        <w:ind w:left="2850" w:hanging="440"/>
      </w:pPr>
    </w:lvl>
    <w:lvl w:ilvl="6">
      <w:start w:val="1"/>
      <w:numFmt w:val="decimal"/>
      <w:lvlText w:val="%7."/>
      <w:lvlJc w:val="left"/>
      <w:pPr>
        <w:ind w:left="3290" w:hanging="440"/>
      </w:pPr>
    </w:lvl>
    <w:lvl w:ilvl="7">
      <w:start w:val="1"/>
      <w:numFmt w:val="lowerLetter"/>
      <w:lvlText w:val="%8)"/>
      <w:lvlJc w:val="left"/>
      <w:pPr>
        <w:ind w:left="3730" w:hanging="440"/>
      </w:pPr>
    </w:lvl>
    <w:lvl w:ilvl="8">
      <w:start w:val="1"/>
      <w:numFmt w:val="lowerRoman"/>
      <w:lvlText w:val="%9."/>
      <w:lvlJc w:val="right"/>
      <w:pPr>
        <w:ind w:left="4170" w:hanging="440"/>
      </w:pPr>
    </w:lvl>
  </w:abstractNum>
  <w:abstractNum w:abstractNumId="2" w15:restartNumberingAfterBreak="0">
    <w:nsid w:val="4F02364D"/>
    <w:multiLevelType w:val="multilevel"/>
    <w:tmpl w:val="4F02364D"/>
    <w:lvl w:ilvl="0">
      <w:start w:val="2"/>
      <w:numFmt w:val="decimal"/>
      <w:lvlText w:val="%1"/>
      <w:lvlJc w:val="left"/>
      <w:pPr>
        <w:ind w:left="360" w:hanging="360"/>
      </w:pPr>
      <w:rPr>
        <w:rFonts w:eastAsia="宋体" w:hint="default"/>
        <w:sz w:val="21"/>
      </w:rPr>
    </w:lvl>
    <w:lvl w:ilvl="1">
      <w:start w:val="2"/>
      <w:numFmt w:val="decimal"/>
      <w:lvlText w:val="%1.%2"/>
      <w:lvlJc w:val="left"/>
      <w:pPr>
        <w:ind w:left="360" w:hanging="360"/>
      </w:pPr>
      <w:rPr>
        <w:rFonts w:eastAsia="宋体" w:hint="default"/>
        <w:sz w:val="21"/>
      </w:rPr>
    </w:lvl>
    <w:lvl w:ilvl="2">
      <w:start w:val="1"/>
      <w:numFmt w:val="decimal"/>
      <w:lvlText w:val="%1.%2.%3"/>
      <w:lvlJc w:val="left"/>
      <w:pPr>
        <w:ind w:left="720" w:hanging="720"/>
      </w:pPr>
      <w:rPr>
        <w:rFonts w:eastAsia="宋体" w:hint="default"/>
        <w:sz w:val="21"/>
      </w:rPr>
    </w:lvl>
    <w:lvl w:ilvl="3">
      <w:start w:val="1"/>
      <w:numFmt w:val="decimal"/>
      <w:lvlText w:val="%1.%2.%3.%4"/>
      <w:lvlJc w:val="left"/>
      <w:pPr>
        <w:ind w:left="720" w:hanging="720"/>
      </w:pPr>
      <w:rPr>
        <w:rFonts w:eastAsia="宋体" w:hint="default"/>
        <w:sz w:val="21"/>
      </w:rPr>
    </w:lvl>
    <w:lvl w:ilvl="4">
      <w:start w:val="1"/>
      <w:numFmt w:val="decimal"/>
      <w:lvlText w:val="%1.%2.%3.%4.%5"/>
      <w:lvlJc w:val="left"/>
      <w:pPr>
        <w:ind w:left="1080" w:hanging="1080"/>
      </w:pPr>
      <w:rPr>
        <w:rFonts w:eastAsia="宋体" w:hint="default"/>
        <w:sz w:val="21"/>
      </w:rPr>
    </w:lvl>
    <w:lvl w:ilvl="5">
      <w:start w:val="1"/>
      <w:numFmt w:val="decimal"/>
      <w:lvlText w:val="%1.%2.%3.%4.%5.%6"/>
      <w:lvlJc w:val="left"/>
      <w:pPr>
        <w:ind w:left="1080" w:hanging="1080"/>
      </w:pPr>
      <w:rPr>
        <w:rFonts w:eastAsia="宋体" w:hint="default"/>
        <w:sz w:val="21"/>
      </w:rPr>
    </w:lvl>
    <w:lvl w:ilvl="6">
      <w:start w:val="1"/>
      <w:numFmt w:val="decimal"/>
      <w:lvlText w:val="%1.%2.%3.%4.%5.%6.%7"/>
      <w:lvlJc w:val="left"/>
      <w:pPr>
        <w:ind w:left="1440" w:hanging="1440"/>
      </w:pPr>
      <w:rPr>
        <w:rFonts w:eastAsia="宋体" w:hint="default"/>
        <w:sz w:val="21"/>
      </w:rPr>
    </w:lvl>
    <w:lvl w:ilvl="7">
      <w:start w:val="1"/>
      <w:numFmt w:val="decimal"/>
      <w:lvlText w:val="%1.%2.%3.%4.%5.%6.%7.%8"/>
      <w:lvlJc w:val="left"/>
      <w:pPr>
        <w:ind w:left="1440" w:hanging="1440"/>
      </w:pPr>
      <w:rPr>
        <w:rFonts w:eastAsia="宋体" w:hint="default"/>
        <w:sz w:val="21"/>
      </w:rPr>
    </w:lvl>
    <w:lvl w:ilvl="8">
      <w:start w:val="1"/>
      <w:numFmt w:val="decimal"/>
      <w:lvlText w:val="%1.%2.%3.%4.%5.%6.%7.%8.%9"/>
      <w:lvlJc w:val="left"/>
      <w:pPr>
        <w:ind w:left="1800" w:hanging="1800"/>
      </w:pPr>
      <w:rPr>
        <w:rFonts w:eastAsia="宋体" w:hint="default"/>
        <w:sz w:val="21"/>
      </w:rPr>
    </w:lvl>
  </w:abstractNum>
  <w:abstractNum w:abstractNumId="3" w15:restartNumberingAfterBreak="0">
    <w:nsid w:val="76D17D91"/>
    <w:multiLevelType w:val="hybridMultilevel"/>
    <w:tmpl w:val="447CD4C6"/>
    <w:lvl w:ilvl="0" w:tplc="241CA548">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4" w15:restartNumberingAfterBreak="0">
    <w:nsid w:val="7D4D51C5"/>
    <w:multiLevelType w:val="multilevel"/>
    <w:tmpl w:val="7D4D51C5"/>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D963010"/>
    <w:multiLevelType w:val="multilevel"/>
    <w:tmpl w:val="7D96301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E9D1FDF"/>
    <w:multiLevelType w:val="multilevel"/>
    <w:tmpl w:val="7D4D51C5"/>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04331853">
    <w:abstractNumId w:val="0"/>
  </w:num>
  <w:num w:numId="2" w16cid:durableId="1220092049">
    <w:abstractNumId w:val="2"/>
  </w:num>
  <w:num w:numId="3" w16cid:durableId="819031413">
    <w:abstractNumId w:val="5"/>
  </w:num>
  <w:num w:numId="4" w16cid:durableId="343823407">
    <w:abstractNumId w:val="1"/>
  </w:num>
  <w:num w:numId="5" w16cid:durableId="1609659694">
    <w:abstractNumId w:val="4"/>
  </w:num>
  <w:num w:numId="6" w16cid:durableId="1194805318">
    <w:abstractNumId w:val="3"/>
  </w:num>
  <w:num w:numId="7" w16cid:durableId="16143616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jOGFmZjdhMTVjZGU3ZDEwZmZjYWRkOWYwZDE1MzkifQ=="/>
  </w:docVars>
  <w:rsids>
    <w:rsidRoot w:val="0076606F"/>
    <w:rsid w:val="00000684"/>
    <w:rsid w:val="00004178"/>
    <w:rsid w:val="00004E85"/>
    <w:rsid w:val="000067CA"/>
    <w:rsid w:val="00012BAF"/>
    <w:rsid w:val="00020DAF"/>
    <w:rsid w:val="00041021"/>
    <w:rsid w:val="00044070"/>
    <w:rsid w:val="00045633"/>
    <w:rsid w:val="0004628C"/>
    <w:rsid w:val="000505AB"/>
    <w:rsid w:val="000526EB"/>
    <w:rsid w:val="00057BF5"/>
    <w:rsid w:val="00057CCE"/>
    <w:rsid w:val="000606A0"/>
    <w:rsid w:val="000611CD"/>
    <w:rsid w:val="000615CC"/>
    <w:rsid w:val="00067035"/>
    <w:rsid w:val="000713D3"/>
    <w:rsid w:val="00072B85"/>
    <w:rsid w:val="00073C55"/>
    <w:rsid w:val="000815E1"/>
    <w:rsid w:val="0008733D"/>
    <w:rsid w:val="0008780B"/>
    <w:rsid w:val="00091D45"/>
    <w:rsid w:val="00091ECC"/>
    <w:rsid w:val="00094839"/>
    <w:rsid w:val="000A1756"/>
    <w:rsid w:val="000B06C5"/>
    <w:rsid w:val="000B11D1"/>
    <w:rsid w:val="000C403B"/>
    <w:rsid w:val="000C4447"/>
    <w:rsid w:val="000C7A78"/>
    <w:rsid w:val="000D28E9"/>
    <w:rsid w:val="000D6CB6"/>
    <w:rsid w:val="000E25D9"/>
    <w:rsid w:val="000E2A5A"/>
    <w:rsid w:val="000E4B1A"/>
    <w:rsid w:val="000F3465"/>
    <w:rsid w:val="000F3BDC"/>
    <w:rsid w:val="000F3C60"/>
    <w:rsid w:val="000F77D1"/>
    <w:rsid w:val="00102819"/>
    <w:rsid w:val="00105853"/>
    <w:rsid w:val="001060CF"/>
    <w:rsid w:val="00106426"/>
    <w:rsid w:val="0010688A"/>
    <w:rsid w:val="00117468"/>
    <w:rsid w:val="00122B2D"/>
    <w:rsid w:val="00122B66"/>
    <w:rsid w:val="00130925"/>
    <w:rsid w:val="00133F6B"/>
    <w:rsid w:val="0013743C"/>
    <w:rsid w:val="00140846"/>
    <w:rsid w:val="0014209C"/>
    <w:rsid w:val="0015450C"/>
    <w:rsid w:val="00157F96"/>
    <w:rsid w:val="001604B4"/>
    <w:rsid w:val="00165DE9"/>
    <w:rsid w:val="0016722A"/>
    <w:rsid w:val="00173E60"/>
    <w:rsid w:val="00173E9F"/>
    <w:rsid w:val="001754FE"/>
    <w:rsid w:val="001760DE"/>
    <w:rsid w:val="00176781"/>
    <w:rsid w:val="0017738E"/>
    <w:rsid w:val="00181742"/>
    <w:rsid w:val="00181FE3"/>
    <w:rsid w:val="00185160"/>
    <w:rsid w:val="00185217"/>
    <w:rsid w:val="001864C5"/>
    <w:rsid w:val="00186C45"/>
    <w:rsid w:val="001903AD"/>
    <w:rsid w:val="00192547"/>
    <w:rsid w:val="00193758"/>
    <w:rsid w:val="001979A6"/>
    <w:rsid w:val="001A10B0"/>
    <w:rsid w:val="001A1FCF"/>
    <w:rsid w:val="001A2CFA"/>
    <w:rsid w:val="001A3026"/>
    <w:rsid w:val="001A6372"/>
    <w:rsid w:val="001A6A0C"/>
    <w:rsid w:val="001A6FB8"/>
    <w:rsid w:val="001B130A"/>
    <w:rsid w:val="001B43B7"/>
    <w:rsid w:val="001C14C9"/>
    <w:rsid w:val="001C2EC8"/>
    <w:rsid w:val="001C37D6"/>
    <w:rsid w:val="001C421A"/>
    <w:rsid w:val="001C7A1B"/>
    <w:rsid w:val="001C7F19"/>
    <w:rsid w:val="001D423C"/>
    <w:rsid w:val="001D4D17"/>
    <w:rsid w:val="001D6A60"/>
    <w:rsid w:val="001E3997"/>
    <w:rsid w:val="001F2451"/>
    <w:rsid w:val="00200170"/>
    <w:rsid w:val="00201EBB"/>
    <w:rsid w:val="0020202E"/>
    <w:rsid w:val="00224301"/>
    <w:rsid w:val="00230B9C"/>
    <w:rsid w:val="00242D76"/>
    <w:rsid w:val="0024315D"/>
    <w:rsid w:val="00246C4D"/>
    <w:rsid w:val="00252CFC"/>
    <w:rsid w:val="00256391"/>
    <w:rsid w:val="0025694D"/>
    <w:rsid w:val="0025736B"/>
    <w:rsid w:val="002609AB"/>
    <w:rsid w:val="00261D74"/>
    <w:rsid w:val="00265223"/>
    <w:rsid w:val="00267018"/>
    <w:rsid w:val="00274E7D"/>
    <w:rsid w:val="0028260B"/>
    <w:rsid w:val="00282664"/>
    <w:rsid w:val="00283D56"/>
    <w:rsid w:val="00285B55"/>
    <w:rsid w:val="002906D0"/>
    <w:rsid w:val="0029121A"/>
    <w:rsid w:val="00294DE1"/>
    <w:rsid w:val="0029535F"/>
    <w:rsid w:val="0029608F"/>
    <w:rsid w:val="00297F2A"/>
    <w:rsid w:val="002A22F9"/>
    <w:rsid w:val="002A2F16"/>
    <w:rsid w:val="002A4B54"/>
    <w:rsid w:val="002B25A3"/>
    <w:rsid w:val="002B5ABF"/>
    <w:rsid w:val="002C4E15"/>
    <w:rsid w:val="002C548A"/>
    <w:rsid w:val="002C6497"/>
    <w:rsid w:val="002D2E08"/>
    <w:rsid w:val="002E0426"/>
    <w:rsid w:val="002E341A"/>
    <w:rsid w:val="002E38DC"/>
    <w:rsid w:val="002E552A"/>
    <w:rsid w:val="002F1493"/>
    <w:rsid w:val="002F30F0"/>
    <w:rsid w:val="002F4B32"/>
    <w:rsid w:val="002F50F9"/>
    <w:rsid w:val="002F7C13"/>
    <w:rsid w:val="00300395"/>
    <w:rsid w:val="00315778"/>
    <w:rsid w:val="0031737C"/>
    <w:rsid w:val="0031788E"/>
    <w:rsid w:val="00320CA2"/>
    <w:rsid w:val="00321D32"/>
    <w:rsid w:val="003305C8"/>
    <w:rsid w:val="00342A4D"/>
    <w:rsid w:val="0034317E"/>
    <w:rsid w:val="00343502"/>
    <w:rsid w:val="00346B25"/>
    <w:rsid w:val="00350A20"/>
    <w:rsid w:val="0035204C"/>
    <w:rsid w:val="003526BC"/>
    <w:rsid w:val="003540F6"/>
    <w:rsid w:val="00354CF3"/>
    <w:rsid w:val="00357187"/>
    <w:rsid w:val="00360D1D"/>
    <w:rsid w:val="00361EE0"/>
    <w:rsid w:val="00361FA3"/>
    <w:rsid w:val="003644F4"/>
    <w:rsid w:val="00365632"/>
    <w:rsid w:val="0036587C"/>
    <w:rsid w:val="00367385"/>
    <w:rsid w:val="00373EA4"/>
    <w:rsid w:val="0038006E"/>
    <w:rsid w:val="00380FEB"/>
    <w:rsid w:val="00386D0F"/>
    <w:rsid w:val="00391DA8"/>
    <w:rsid w:val="00397C67"/>
    <w:rsid w:val="003A5BCC"/>
    <w:rsid w:val="003A638E"/>
    <w:rsid w:val="003B640D"/>
    <w:rsid w:val="003B655E"/>
    <w:rsid w:val="003B6E81"/>
    <w:rsid w:val="003C1EEF"/>
    <w:rsid w:val="003C6438"/>
    <w:rsid w:val="003D4235"/>
    <w:rsid w:val="003D61D2"/>
    <w:rsid w:val="003E07CF"/>
    <w:rsid w:val="003E1688"/>
    <w:rsid w:val="003E1E23"/>
    <w:rsid w:val="003E373D"/>
    <w:rsid w:val="003E54B4"/>
    <w:rsid w:val="003F08AD"/>
    <w:rsid w:val="003F1DD2"/>
    <w:rsid w:val="003F7533"/>
    <w:rsid w:val="00402315"/>
    <w:rsid w:val="00403422"/>
    <w:rsid w:val="004055EE"/>
    <w:rsid w:val="00410B6B"/>
    <w:rsid w:val="00411B16"/>
    <w:rsid w:val="004126C0"/>
    <w:rsid w:val="00417B8B"/>
    <w:rsid w:val="00420F64"/>
    <w:rsid w:val="0042175A"/>
    <w:rsid w:val="004220CC"/>
    <w:rsid w:val="004223E0"/>
    <w:rsid w:val="004337E8"/>
    <w:rsid w:val="00436892"/>
    <w:rsid w:val="00437054"/>
    <w:rsid w:val="00441D43"/>
    <w:rsid w:val="00452827"/>
    <w:rsid w:val="004565CA"/>
    <w:rsid w:val="00461673"/>
    <w:rsid w:val="00470E8D"/>
    <w:rsid w:val="004718CF"/>
    <w:rsid w:val="00474368"/>
    <w:rsid w:val="00481F07"/>
    <w:rsid w:val="0048209F"/>
    <w:rsid w:val="00486170"/>
    <w:rsid w:val="00492C5B"/>
    <w:rsid w:val="0049517F"/>
    <w:rsid w:val="004964B1"/>
    <w:rsid w:val="00497A63"/>
    <w:rsid w:val="004A0BFE"/>
    <w:rsid w:val="004A1806"/>
    <w:rsid w:val="004A1E2E"/>
    <w:rsid w:val="004A258F"/>
    <w:rsid w:val="004A2933"/>
    <w:rsid w:val="004A41F0"/>
    <w:rsid w:val="004A677D"/>
    <w:rsid w:val="004A6C57"/>
    <w:rsid w:val="004B105E"/>
    <w:rsid w:val="004B5DDE"/>
    <w:rsid w:val="004B615D"/>
    <w:rsid w:val="004C52D9"/>
    <w:rsid w:val="004C7602"/>
    <w:rsid w:val="004D1F2F"/>
    <w:rsid w:val="004D1F91"/>
    <w:rsid w:val="004D48C3"/>
    <w:rsid w:val="004D6061"/>
    <w:rsid w:val="004E04D5"/>
    <w:rsid w:val="004E32CB"/>
    <w:rsid w:val="004E57AF"/>
    <w:rsid w:val="004F0493"/>
    <w:rsid w:val="004F0CB1"/>
    <w:rsid w:val="004F2D94"/>
    <w:rsid w:val="004F2F9C"/>
    <w:rsid w:val="004F7C81"/>
    <w:rsid w:val="00513534"/>
    <w:rsid w:val="0051483B"/>
    <w:rsid w:val="00515696"/>
    <w:rsid w:val="00530FD0"/>
    <w:rsid w:val="00533E98"/>
    <w:rsid w:val="00540E3E"/>
    <w:rsid w:val="00542945"/>
    <w:rsid w:val="005464AD"/>
    <w:rsid w:val="00552C25"/>
    <w:rsid w:val="005535EB"/>
    <w:rsid w:val="00553793"/>
    <w:rsid w:val="00560CAF"/>
    <w:rsid w:val="00561A3C"/>
    <w:rsid w:val="00571503"/>
    <w:rsid w:val="005727BE"/>
    <w:rsid w:val="005731FD"/>
    <w:rsid w:val="00574BE3"/>
    <w:rsid w:val="00575E16"/>
    <w:rsid w:val="00577C70"/>
    <w:rsid w:val="00580BC1"/>
    <w:rsid w:val="00583634"/>
    <w:rsid w:val="00590CB8"/>
    <w:rsid w:val="005A7856"/>
    <w:rsid w:val="005B1C42"/>
    <w:rsid w:val="005B75D3"/>
    <w:rsid w:val="005C330A"/>
    <w:rsid w:val="005C60FF"/>
    <w:rsid w:val="005C63CC"/>
    <w:rsid w:val="005C73E9"/>
    <w:rsid w:val="005D3781"/>
    <w:rsid w:val="005D57DD"/>
    <w:rsid w:val="005D71BD"/>
    <w:rsid w:val="005E04A1"/>
    <w:rsid w:val="005E211E"/>
    <w:rsid w:val="005E4D30"/>
    <w:rsid w:val="005E7D87"/>
    <w:rsid w:val="005E7FE7"/>
    <w:rsid w:val="005F1DA3"/>
    <w:rsid w:val="005F7E0D"/>
    <w:rsid w:val="00601AF2"/>
    <w:rsid w:val="00602D07"/>
    <w:rsid w:val="006128A6"/>
    <w:rsid w:val="00615E84"/>
    <w:rsid w:val="00624EEC"/>
    <w:rsid w:val="006279A9"/>
    <w:rsid w:val="00627AE9"/>
    <w:rsid w:val="00633CC2"/>
    <w:rsid w:val="00636405"/>
    <w:rsid w:val="006370A5"/>
    <w:rsid w:val="00640FFB"/>
    <w:rsid w:val="00652CD6"/>
    <w:rsid w:val="006549F1"/>
    <w:rsid w:val="006562E5"/>
    <w:rsid w:val="00662D79"/>
    <w:rsid w:val="00663F49"/>
    <w:rsid w:val="006641FC"/>
    <w:rsid w:val="0066711D"/>
    <w:rsid w:val="00667F66"/>
    <w:rsid w:val="00676234"/>
    <w:rsid w:val="006764C2"/>
    <w:rsid w:val="00676ADE"/>
    <w:rsid w:val="006828AD"/>
    <w:rsid w:val="00686975"/>
    <w:rsid w:val="00694AAA"/>
    <w:rsid w:val="006951C6"/>
    <w:rsid w:val="006A0A8B"/>
    <w:rsid w:val="006A0DE9"/>
    <w:rsid w:val="006A3DA6"/>
    <w:rsid w:val="006A3ECD"/>
    <w:rsid w:val="006A4ED3"/>
    <w:rsid w:val="006B19FC"/>
    <w:rsid w:val="006B3AAA"/>
    <w:rsid w:val="006C0B31"/>
    <w:rsid w:val="006C6789"/>
    <w:rsid w:val="006D04D1"/>
    <w:rsid w:val="006D1610"/>
    <w:rsid w:val="006D192E"/>
    <w:rsid w:val="006D5B24"/>
    <w:rsid w:val="006E18E1"/>
    <w:rsid w:val="006F3069"/>
    <w:rsid w:val="006F3EB0"/>
    <w:rsid w:val="006F48C3"/>
    <w:rsid w:val="006F70E6"/>
    <w:rsid w:val="00706A71"/>
    <w:rsid w:val="00711D44"/>
    <w:rsid w:val="00712653"/>
    <w:rsid w:val="00714261"/>
    <w:rsid w:val="00722029"/>
    <w:rsid w:val="007267B7"/>
    <w:rsid w:val="007320E6"/>
    <w:rsid w:val="00732A23"/>
    <w:rsid w:val="00733BAD"/>
    <w:rsid w:val="00740E95"/>
    <w:rsid w:val="007432B2"/>
    <w:rsid w:val="00745AFE"/>
    <w:rsid w:val="00746338"/>
    <w:rsid w:val="0075329C"/>
    <w:rsid w:val="00760040"/>
    <w:rsid w:val="00761A4F"/>
    <w:rsid w:val="00762AF3"/>
    <w:rsid w:val="00765688"/>
    <w:rsid w:val="0076606F"/>
    <w:rsid w:val="00773491"/>
    <w:rsid w:val="0077460A"/>
    <w:rsid w:val="00774ED8"/>
    <w:rsid w:val="00775E4F"/>
    <w:rsid w:val="0077688C"/>
    <w:rsid w:val="007773E2"/>
    <w:rsid w:val="00777F17"/>
    <w:rsid w:val="0078240D"/>
    <w:rsid w:val="007829B5"/>
    <w:rsid w:val="00783F18"/>
    <w:rsid w:val="00785E94"/>
    <w:rsid w:val="00797E8E"/>
    <w:rsid w:val="007A6FF3"/>
    <w:rsid w:val="007B24A7"/>
    <w:rsid w:val="007B2C18"/>
    <w:rsid w:val="007B52CD"/>
    <w:rsid w:val="007B5967"/>
    <w:rsid w:val="007B68C3"/>
    <w:rsid w:val="007B7CBA"/>
    <w:rsid w:val="007C099D"/>
    <w:rsid w:val="007C14AD"/>
    <w:rsid w:val="007C4A6F"/>
    <w:rsid w:val="007D569E"/>
    <w:rsid w:val="007D63E4"/>
    <w:rsid w:val="007E21C3"/>
    <w:rsid w:val="007F0F40"/>
    <w:rsid w:val="007F25EC"/>
    <w:rsid w:val="007F4BE4"/>
    <w:rsid w:val="00800558"/>
    <w:rsid w:val="00801BDD"/>
    <w:rsid w:val="00802315"/>
    <w:rsid w:val="008109CA"/>
    <w:rsid w:val="008132F9"/>
    <w:rsid w:val="00813630"/>
    <w:rsid w:val="008144E3"/>
    <w:rsid w:val="008175EB"/>
    <w:rsid w:val="0082507D"/>
    <w:rsid w:val="00825972"/>
    <w:rsid w:val="0082732E"/>
    <w:rsid w:val="00830AD1"/>
    <w:rsid w:val="00843892"/>
    <w:rsid w:val="00850334"/>
    <w:rsid w:val="00850D7A"/>
    <w:rsid w:val="00853AB3"/>
    <w:rsid w:val="00857374"/>
    <w:rsid w:val="0086035C"/>
    <w:rsid w:val="008668E4"/>
    <w:rsid w:val="00867E9C"/>
    <w:rsid w:val="00883454"/>
    <w:rsid w:val="00886947"/>
    <w:rsid w:val="00887DC8"/>
    <w:rsid w:val="00891369"/>
    <w:rsid w:val="00891854"/>
    <w:rsid w:val="00894E2A"/>
    <w:rsid w:val="00897535"/>
    <w:rsid w:val="008A01EB"/>
    <w:rsid w:val="008A2BBD"/>
    <w:rsid w:val="008A2E87"/>
    <w:rsid w:val="008A7591"/>
    <w:rsid w:val="008B11E5"/>
    <w:rsid w:val="008B51CE"/>
    <w:rsid w:val="008B56A3"/>
    <w:rsid w:val="008C124F"/>
    <w:rsid w:val="008C1281"/>
    <w:rsid w:val="008C139C"/>
    <w:rsid w:val="008C7CCA"/>
    <w:rsid w:val="008D6743"/>
    <w:rsid w:val="008D7DDA"/>
    <w:rsid w:val="008E2416"/>
    <w:rsid w:val="008E25D5"/>
    <w:rsid w:val="008E5465"/>
    <w:rsid w:val="008E6E3A"/>
    <w:rsid w:val="008F7078"/>
    <w:rsid w:val="00907585"/>
    <w:rsid w:val="00910945"/>
    <w:rsid w:val="009175A6"/>
    <w:rsid w:val="00930DEC"/>
    <w:rsid w:val="0093254E"/>
    <w:rsid w:val="00932A27"/>
    <w:rsid w:val="00936470"/>
    <w:rsid w:val="009379E0"/>
    <w:rsid w:val="00937B62"/>
    <w:rsid w:val="00940292"/>
    <w:rsid w:val="00945464"/>
    <w:rsid w:val="009466C4"/>
    <w:rsid w:val="00950036"/>
    <w:rsid w:val="009508B5"/>
    <w:rsid w:val="00950C20"/>
    <w:rsid w:val="009530CF"/>
    <w:rsid w:val="00953647"/>
    <w:rsid w:val="00953B41"/>
    <w:rsid w:val="009702E6"/>
    <w:rsid w:val="00970E59"/>
    <w:rsid w:val="00973530"/>
    <w:rsid w:val="00975328"/>
    <w:rsid w:val="009764C1"/>
    <w:rsid w:val="00981F62"/>
    <w:rsid w:val="00985382"/>
    <w:rsid w:val="009865A1"/>
    <w:rsid w:val="00990FA1"/>
    <w:rsid w:val="009919D6"/>
    <w:rsid w:val="00996B08"/>
    <w:rsid w:val="00997375"/>
    <w:rsid w:val="00997AC2"/>
    <w:rsid w:val="009A1617"/>
    <w:rsid w:val="009A18A4"/>
    <w:rsid w:val="009B0E80"/>
    <w:rsid w:val="009B273E"/>
    <w:rsid w:val="009B2972"/>
    <w:rsid w:val="009B29AC"/>
    <w:rsid w:val="009B3B9B"/>
    <w:rsid w:val="009B73BC"/>
    <w:rsid w:val="009B7426"/>
    <w:rsid w:val="009C07E8"/>
    <w:rsid w:val="009C1C07"/>
    <w:rsid w:val="009C45D9"/>
    <w:rsid w:val="009C510F"/>
    <w:rsid w:val="009C7220"/>
    <w:rsid w:val="009E0825"/>
    <w:rsid w:val="009E6BCC"/>
    <w:rsid w:val="009F015B"/>
    <w:rsid w:val="00A03130"/>
    <w:rsid w:val="00A050DC"/>
    <w:rsid w:val="00A0544E"/>
    <w:rsid w:val="00A15D3A"/>
    <w:rsid w:val="00A27479"/>
    <w:rsid w:val="00A313FA"/>
    <w:rsid w:val="00A4041C"/>
    <w:rsid w:val="00A40E0E"/>
    <w:rsid w:val="00A4429F"/>
    <w:rsid w:val="00A45904"/>
    <w:rsid w:val="00A550AF"/>
    <w:rsid w:val="00A60944"/>
    <w:rsid w:val="00A63B80"/>
    <w:rsid w:val="00A63C6B"/>
    <w:rsid w:val="00A65891"/>
    <w:rsid w:val="00A73246"/>
    <w:rsid w:val="00A763C1"/>
    <w:rsid w:val="00A943F6"/>
    <w:rsid w:val="00A9441E"/>
    <w:rsid w:val="00A95384"/>
    <w:rsid w:val="00A97D97"/>
    <w:rsid w:val="00AA2993"/>
    <w:rsid w:val="00AB06A4"/>
    <w:rsid w:val="00AB702E"/>
    <w:rsid w:val="00AB7C3A"/>
    <w:rsid w:val="00AC2722"/>
    <w:rsid w:val="00AC43DB"/>
    <w:rsid w:val="00AC541C"/>
    <w:rsid w:val="00AD179F"/>
    <w:rsid w:val="00AD5612"/>
    <w:rsid w:val="00AD6106"/>
    <w:rsid w:val="00AE2F3F"/>
    <w:rsid w:val="00AE35F5"/>
    <w:rsid w:val="00AF1E5C"/>
    <w:rsid w:val="00AF31DC"/>
    <w:rsid w:val="00AF34D7"/>
    <w:rsid w:val="00AF3D74"/>
    <w:rsid w:val="00AF69C7"/>
    <w:rsid w:val="00B01EB7"/>
    <w:rsid w:val="00B049E0"/>
    <w:rsid w:val="00B05F4C"/>
    <w:rsid w:val="00B06A34"/>
    <w:rsid w:val="00B12023"/>
    <w:rsid w:val="00B12CF8"/>
    <w:rsid w:val="00B15F73"/>
    <w:rsid w:val="00B167FC"/>
    <w:rsid w:val="00B239D0"/>
    <w:rsid w:val="00B23A33"/>
    <w:rsid w:val="00B240E3"/>
    <w:rsid w:val="00B258FD"/>
    <w:rsid w:val="00B2592C"/>
    <w:rsid w:val="00B264B6"/>
    <w:rsid w:val="00B27705"/>
    <w:rsid w:val="00B27C70"/>
    <w:rsid w:val="00B33998"/>
    <w:rsid w:val="00B33AD6"/>
    <w:rsid w:val="00B4009F"/>
    <w:rsid w:val="00B42098"/>
    <w:rsid w:val="00B4251E"/>
    <w:rsid w:val="00B45131"/>
    <w:rsid w:val="00B45C10"/>
    <w:rsid w:val="00B53396"/>
    <w:rsid w:val="00B54D6C"/>
    <w:rsid w:val="00B55AD3"/>
    <w:rsid w:val="00B56355"/>
    <w:rsid w:val="00B60D61"/>
    <w:rsid w:val="00B707DA"/>
    <w:rsid w:val="00B73D93"/>
    <w:rsid w:val="00B74398"/>
    <w:rsid w:val="00B7499D"/>
    <w:rsid w:val="00B82C08"/>
    <w:rsid w:val="00B830DC"/>
    <w:rsid w:val="00B858D2"/>
    <w:rsid w:val="00B8732A"/>
    <w:rsid w:val="00B91F08"/>
    <w:rsid w:val="00B92E46"/>
    <w:rsid w:val="00B93611"/>
    <w:rsid w:val="00B945C0"/>
    <w:rsid w:val="00B946E3"/>
    <w:rsid w:val="00BA086A"/>
    <w:rsid w:val="00BA331A"/>
    <w:rsid w:val="00BA75F1"/>
    <w:rsid w:val="00BA7FEC"/>
    <w:rsid w:val="00BB228A"/>
    <w:rsid w:val="00BB26EB"/>
    <w:rsid w:val="00BC19DC"/>
    <w:rsid w:val="00BD5C78"/>
    <w:rsid w:val="00BD5F2F"/>
    <w:rsid w:val="00BF197D"/>
    <w:rsid w:val="00BF3940"/>
    <w:rsid w:val="00BF3E3B"/>
    <w:rsid w:val="00BF5556"/>
    <w:rsid w:val="00BF6807"/>
    <w:rsid w:val="00C003C1"/>
    <w:rsid w:val="00C034B0"/>
    <w:rsid w:val="00C04303"/>
    <w:rsid w:val="00C04731"/>
    <w:rsid w:val="00C10999"/>
    <w:rsid w:val="00C1118F"/>
    <w:rsid w:val="00C1394D"/>
    <w:rsid w:val="00C13FCA"/>
    <w:rsid w:val="00C21DFD"/>
    <w:rsid w:val="00C24497"/>
    <w:rsid w:val="00C25B90"/>
    <w:rsid w:val="00C269CD"/>
    <w:rsid w:val="00C2740B"/>
    <w:rsid w:val="00C301F0"/>
    <w:rsid w:val="00C31687"/>
    <w:rsid w:val="00C32368"/>
    <w:rsid w:val="00C3637F"/>
    <w:rsid w:val="00C36B46"/>
    <w:rsid w:val="00C42DC4"/>
    <w:rsid w:val="00C4503D"/>
    <w:rsid w:val="00C539A1"/>
    <w:rsid w:val="00C54B3E"/>
    <w:rsid w:val="00C648CC"/>
    <w:rsid w:val="00C66B4A"/>
    <w:rsid w:val="00C671E1"/>
    <w:rsid w:val="00C719E0"/>
    <w:rsid w:val="00C71D7D"/>
    <w:rsid w:val="00C7625C"/>
    <w:rsid w:val="00C92EF7"/>
    <w:rsid w:val="00C95E10"/>
    <w:rsid w:val="00CA1EFD"/>
    <w:rsid w:val="00CA662C"/>
    <w:rsid w:val="00CB14EB"/>
    <w:rsid w:val="00CB1522"/>
    <w:rsid w:val="00CB33C6"/>
    <w:rsid w:val="00CB4A9B"/>
    <w:rsid w:val="00CC222A"/>
    <w:rsid w:val="00CC6A36"/>
    <w:rsid w:val="00CD2268"/>
    <w:rsid w:val="00CE6DFC"/>
    <w:rsid w:val="00CE7D57"/>
    <w:rsid w:val="00CF1F37"/>
    <w:rsid w:val="00CF7A14"/>
    <w:rsid w:val="00D03D1E"/>
    <w:rsid w:val="00D058BB"/>
    <w:rsid w:val="00D06274"/>
    <w:rsid w:val="00D14F98"/>
    <w:rsid w:val="00D2618E"/>
    <w:rsid w:val="00D3024A"/>
    <w:rsid w:val="00D30BA2"/>
    <w:rsid w:val="00D36D75"/>
    <w:rsid w:val="00D45DAC"/>
    <w:rsid w:val="00D45F17"/>
    <w:rsid w:val="00D52BAC"/>
    <w:rsid w:val="00D55CFA"/>
    <w:rsid w:val="00D577A3"/>
    <w:rsid w:val="00D6243B"/>
    <w:rsid w:val="00D65A22"/>
    <w:rsid w:val="00D673D0"/>
    <w:rsid w:val="00D6755B"/>
    <w:rsid w:val="00D70453"/>
    <w:rsid w:val="00D71A27"/>
    <w:rsid w:val="00D7236F"/>
    <w:rsid w:val="00D747FF"/>
    <w:rsid w:val="00D80A9E"/>
    <w:rsid w:val="00D8126E"/>
    <w:rsid w:val="00D821CC"/>
    <w:rsid w:val="00D865BE"/>
    <w:rsid w:val="00D917B2"/>
    <w:rsid w:val="00D95F96"/>
    <w:rsid w:val="00DA06B7"/>
    <w:rsid w:val="00DB0839"/>
    <w:rsid w:val="00DB47B9"/>
    <w:rsid w:val="00DB6B2F"/>
    <w:rsid w:val="00DC1A22"/>
    <w:rsid w:val="00DC25A4"/>
    <w:rsid w:val="00DD2E96"/>
    <w:rsid w:val="00DE404C"/>
    <w:rsid w:val="00DF0A1B"/>
    <w:rsid w:val="00DF1CE5"/>
    <w:rsid w:val="00DF3354"/>
    <w:rsid w:val="00DF5F01"/>
    <w:rsid w:val="00DF70ED"/>
    <w:rsid w:val="00E0193A"/>
    <w:rsid w:val="00E140DC"/>
    <w:rsid w:val="00E21C4A"/>
    <w:rsid w:val="00E22140"/>
    <w:rsid w:val="00E243D5"/>
    <w:rsid w:val="00E33FB0"/>
    <w:rsid w:val="00E35956"/>
    <w:rsid w:val="00E359D4"/>
    <w:rsid w:val="00E429B5"/>
    <w:rsid w:val="00E456CB"/>
    <w:rsid w:val="00E52BB0"/>
    <w:rsid w:val="00E5570C"/>
    <w:rsid w:val="00E56771"/>
    <w:rsid w:val="00E63347"/>
    <w:rsid w:val="00E720AF"/>
    <w:rsid w:val="00E74E7D"/>
    <w:rsid w:val="00E832FA"/>
    <w:rsid w:val="00E850C6"/>
    <w:rsid w:val="00E871B5"/>
    <w:rsid w:val="00E87302"/>
    <w:rsid w:val="00E909E6"/>
    <w:rsid w:val="00E928CA"/>
    <w:rsid w:val="00E93D70"/>
    <w:rsid w:val="00E95EC7"/>
    <w:rsid w:val="00E9759F"/>
    <w:rsid w:val="00EA16C0"/>
    <w:rsid w:val="00EA2E4C"/>
    <w:rsid w:val="00EA6A96"/>
    <w:rsid w:val="00EB28C9"/>
    <w:rsid w:val="00EB5C93"/>
    <w:rsid w:val="00EC05A8"/>
    <w:rsid w:val="00EC45AA"/>
    <w:rsid w:val="00EC7E39"/>
    <w:rsid w:val="00ED6682"/>
    <w:rsid w:val="00EF3A70"/>
    <w:rsid w:val="00EF3F09"/>
    <w:rsid w:val="00EF4A05"/>
    <w:rsid w:val="00F11EE5"/>
    <w:rsid w:val="00F1245B"/>
    <w:rsid w:val="00F20520"/>
    <w:rsid w:val="00F2628B"/>
    <w:rsid w:val="00F30014"/>
    <w:rsid w:val="00F30B6C"/>
    <w:rsid w:val="00F33E2E"/>
    <w:rsid w:val="00F35664"/>
    <w:rsid w:val="00F41167"/>
    <w:rsid w:val="00F4153C"/>
    <w:rsid w:val="00F50763"/>
    <w:rsid w:val="00F51286"/>
    <w:rsid w:val="00F5262B"/>
    <w:rsid w:val="00F52EE7"/>
    <w:rsid w:val="00F53BC2"/>
    <w:rsid w:val="00F626A1"/>
    <w:rsid w:val="00F634DE"/>
    <w:rsid w:val="00F63E7F"/>
    <w:rsid w:val="00F661B7"/>
    <w:rsid w:val="00F71E8C"/>
    <w:rsid w:val="00F72BDF"/>
    <w:rsid w:val="00F73FFF"/>
    <w:rsid w:val="00F74E98"/>
    <w:rsid w:val="00F826C7"/>
    <w:rsid w:val="00F85016"/>
    <w:rsid w:val="00F901C4"/>
    <w:rsid w:val="00F9172D"/>
    <w:rsid w:val="00F93EFA"/>
    <w:rsid w:val="00F95354"/>
    <w:rsid w:val="00F96352"/>
    <w:rsid w:val="00FA01D1"/>
    <w:rsid w:val="00FA1065"/>
    <w:rsid w:val="00FA2391"/>
    <w:rsid w:val="00FA34EA"/>
    <w:rsid w:val="00FB2641"/>
    <w:rsid w:val="00FB3E90"/>
    <w:rsid w:val="00FB517E"/>
    <w:rsid w:val="00FB777D"/>
    <w:rsid w:val="00FC327B"/>
    <w:rsid w:val="00FD34B9"/>
    <w:rsid w:val="00FD7B91"/>
    <w:rsid w:val="00FE275A"/>
    <w:rsid w:val="00FE40DA"/>
    <w:rsid w:val="00FE6581"/>
    <w:rsid w:val="00FE6C50"/>
    <w:rsid w:val="00FF06D8"/>
    <w:rsid w:val="00FF0D57"/>
    <w:rsid w:val="00FF2B99"/>
    <w:rsid w:val="00FF4B21"/>
    <w:rsid w:val="274C2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C2D30"/>
  <w15:docId w15:val="{DBAB0007-7C6E-4344-BFA6-C342D98E9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662D7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829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829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pPr>
      <w:jc w:val="left"/>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pPr>
      <w:tabs>
        <w:tab w:val="center" w:pos="4153"/>
        <w:tab w:val="right" w:pos="8306"/>
      </w:tabs>
      <w:snapToGrid w:val="0"/>
      <w:jc w:val="center"/>
    </w:pPr>
    <w:rPr>
      <w:sz w:val="18"/>
      <w:szCs w:val="18"/>
    </w:rPr>
  </w:style>
  <w:style w:type="paragraph" w:styleId="ab">
    <w:name w:val="Normal (Web)"/>
    <w:basedOn w:val="a"/>
    <w:uiPriority w:val="99"/>
    <w:unhideWhenUsed/>
    <w:qFormat/>
    <w:pPr>
      <w:spacing w:beforeAutospacing="1" w:afterAutospacing="1"/>
      <w:jc w:val="left"/>
    </w:pPr>
    <w:rPr>
      <w:rFonts w:cs="Times New Roman"/>
      <w:kern w:val="0"/>
      <w:sz w:val="24"/>
    </w:rPr>
  </w:style>
  <w:style w:type="paragraph" w:styleId="ac">
    <w:name w:val="annotation subject"/>
    <w:basedOn w:val="a3"/>
    <w:next w:val="a3"/>
    <w:link w:val="ad"/>
    <w:uiPriority w:val="99"/>
    <w:semiHidden/>
    <w:unhideWhenUsed/>
    <w:rPr>
      <w:b/>
      <w:bCs/>
    </w:rPr>
  </w:style>
  <w:style w:type="character" w:styleId="ae">
    <w:name w:val="Strong"/>
    <w:basedOn w:val="a0"/>
    <w:uiPriority w:val="22"/>
    <w:qFormat/>
    <w:rPr>
      <w:b/>
      <w:bCs/>
    </w:rPr>
  </w:style>
  <w:style w:type="character" w:styleId="af">
    <w:name w:val="annotation reference"/>
    <w:basedOn w:val="a0"/>
    <w:uiPriority w:val="99"/>
    <w:semiHidden/>
    <w:unhideWhenUsed/>
    <w:rPr>
      <w:sz w:val="21"/>
      <w:szCs w:val="21"/>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qFormat/>
    <w:rPr>
      <w:sz w:val="18"/>
      <w:szCs w:val="18"/>
    </w:rPr>
  </w:style>
  <w:style w:type="paragraph" w:styleId="af0">
    <w:name w:val="List Paragraph"/>
    <w:basedOn w:val="a"/>
    <w:uiPriority w:val="34"/>
    <w:qFormat/>
    <w:pPr>
      <w:ind w:firstLineChars="200" w:firstLine="420"/>
    </w:pPr>
  </w:style>
  <w:style w:type="character" w:customStyle="1" w:styleId="notion-enable-hover">
    <w:name w:val="notion-enable-hover"/>
    <w:basedOn w:val="a0"/>
  </w:style>
  <w:style w:type="paragraph" w:customStyle="1" w:styleId="11">
    <w:name w:val="样式1"/>
    <w:basedOn w:val="a"/>
    <w:qFormat/>
    <w:pPr>
      <w:widowControl/>
      <w:jc w:val="left"/>
    </w:pPr>
    <w:rPr>
      <w:rFonts w:ascii="Times New Roman" w:eastAsia="Times New Roman" w:hAnsi="Times New Roman" w:cs="Times New Roman"/>
      <w:kern w:val="0"/>
      <w:sz w:val="24"/>
      <w:szCs w:val="20"/>
    </w:rPr>
  </w:style>
  <w:style w:type="paragraph" w:customStyle="1" w:styleId="12">
    <w:name w:val="修订1"/>
    <w:hidden/>
    <w:uiPriority w:val="99"/>
    <w:semiHidden/>
    <w:rPr>
      <w:kern w:val="2"/>
      <w:sz w:val="21"/>
      <w:szCs w:val="22"/>
    </w:rPr>
  </w:style>
  <w:style w:type="character" w:customStyle="1" w:styleId="a4">
    <w:name w:val="批注文字 字符"/>
    <w:basedOn w:val="a0"/>
    <w:link w:val="a3"/>
    <w:uiPriority w:val="99"/>
  </w:style>
  <w:style w:type="character" w:customStyle="1" w:styleId="a6">
    <w:name w:val="批注框文本 字符"/>
    <w:basedOn w:val="a0"/>
    <w:link w:val="a5"/>
    <w:uiPriority w:val="99"/>
    <w:semiHidden/>
    <w:rPr>
      <w:sz w:val="18"/>
      <w:szCs w:val="18"/>
    </w:rPr>
  </w:style>
  <w:style w:type="character" w:customStyle="1" w:styleId="ad">
    <w:name w:val="批注主题 字符"/>
    <w:basedOn w:val="a4"/>
    <w:link w:val="ac"/>
    <w:uiPriority w:val="99"/>
    <w:semiHidden/>
    <w:rPr>
      <w:b/>
      <w:bCs/>
    </w:rPr>
  </w:style>
  <w:style w:type="paragraph" w:styleId="af1">
    <w:name w:val="Revision"/>
    <w:hidden/>
    <w:uiPriority w:val="99"/>
    <w:unhideWhenUsed/>
    <w:rsid w:val="003B6E81"/>
    <w:rPr>
      <w:kern w:val="2"/>
      <w:sz w:val="21"/>
      <w:szCs w:val="22"/>
    </w:rPr>
  </w:style>
  <w:style w:type="character" w:styleId="af2">
    <w:name w:val="Placeholder Text"/>
    <w:basedOn w:val="a0"/>
    <w:uiPriority w:val="99"/>
    <w:unhideWhenUsed/>
    <w:rsid w:val="00857374"/>
    <w:rPr>
      <w:color w:val="808080"/>
    </w:rPr>
  </w:style>
  <w:style w:type="character" w:customStyle="1" w:styleId="10">
    <w:name w:val="标题 1 字符"/>
    <w:basedOn w:val="a0"/>
    <w:link w:val="1"/>
    <w:uiPriority w:val="9"/>
    <w:rsid w:val="00662D79"/>
    <w:rPr>
      <w:b/>
      <w:bCs/>
      <w:kern w:val="44"/>
      <w:sz w:val="44"/>
      <w:szCs w:val="44"/>
    </w:rPr>
  </w:style>
  <w:style w:type="character" w:styleId="af3">
    <w:name w:val="Hyperlink"/>
    <w:basedOn w:val="a0"/>
    <w:uiPriority w:val="99"/>
    <w:unhideWhenUsed/>
    <w:rsid w:val="00662D79"/>
    <w:rPr>
      <w:color w:val="0000FF"/>
      <w:u w:val="single"/>
    </w:rPr>
  </w:style>
  <w:style w:type="character" w:styleId="af4">
    <w:name w:val="Unresolved Mention"/>
    <w:basedOn w:val="a0"/>
    <w:uiPriority w:val="99"/>
    <w:semiHidden/>
    <w:unhideWhenUsed/>
    <w:rsid w:val="00A4429F"/>
    <w:rPr>
      <w:color w:val="605E5C"/>
      <w:shd w:val="clear" w:color="auto" w:fill="E1DFDD"/>
    </w:rPr>
  </w:style>
  <w:style w:type="paragraph" w:styleId="af5">
    <w:name w:val="Bibliography"/>
    <w:basedOn w:val="a"/>
    <w:next w:val="a"/>
    <w:uiPriority w:val="37"/>
    <w:unhideWhenUsed/>
    <w:rsid w:val="00652CD6"/>
  </w:style>
  <w:style w:type="character" w:styleId="af6">
    <w:name w:val="FollowedHyperlink"/>
    <w:basedOn w:val="a0"/>
    <w:uiPriority w:val="99"/>
    <w:semiHidden/>
    <w:unhideWhenUsed/>
    <w:rsid w:val="00B23A33"/>
    <w:rPr>
      <w:color w:val="954F72" w:themeColor="followedHyperlink"/>
      <w:u w:val="single"/>
    </w:rPr>
  </w:style>
  <w:style w:type="paragraph" w:styleId="TOC1">
    <w:name w:val="toc 1"/>
    <w:basedOn w:val="a"/>
    <w:next w:val="a"/>
    <w:autoRedefine/>
    <w:uiPriority w:val="39"/>
    <w:unhideWhenUsed/>
    <w:rsid w:val="00252CFC"/>
  </w:style>
  <w:style w:type="paragraph" w:styleId="TOC2">
    <w:name w:val="toc 2"/>
    <w:basedOn w:val="a"/>
    <w:next w:val="a"/>
    <w:autoRedefine/>
    <w:uiPriority w:val="39"/>
    <w:unhideWhenUsed/>
    <w:rsid w:val="00252CFC"/>
    <w:pPr>
      <w:ind w:leftChars="200" w:left="420"/>
    </w:pPr>
  </w:style>
  <w:style w:type="character" w:customStyle="1" w:styleId="30">
    <w:name w:val="标题 3 字符"/>
    <w:basedOn w:val="a0"/>
    <w:link w:val="3"/>
    <w:uiPriority w:val="9"/>
    <w:semiHidden/>
    <w:rsid w:val="007829B5"/>
    <w:rPr>
      <w:b/>
      <w:bCs/>
      <w:kern w:val="2"/>
      <w:sz w:val="32"/>
      <w:szCs w:val="32"/>
    </w:rPr>
  </w:style>
  <w:style w:type="character" w:customStyle="1" w:styleId="20">
    <w:name w:val="标题 2 字符"/>
    <w:basedOn w:val="a0"/>
    <w:link w:val="2"/>
    <w:uiPriority w:val="9"/>
    <w:semiHidden/>
    <w:rsid w:val="007829B5"/>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0716">
      <w:bodyDiv w:val="1"/>
      <w:marLeft w:val="0"/>
      <w:marRight w:val="0"/>
      <w:marTop w:val="0"/>
      <w:marBottom w:val="0"/>
      <w:divBdr>
        <w:top w:val="none" w:sz="0" w:space="0" w:color="auto"/>
        <w:left w:val="none" w:sz="0" w:space="0" w:color="auto"/>
        <w:bottom w:val="none" w:sz="0" w:space="0" w:color="auto"/>
        <w:right w:val="none" w:sz="0" w:space="0" w:color="auto"/>
      </w:divBdr>
    </w:div>
    <w:div w:id="222647493">
      <w:bodyDiv w:val="1"/>
      <w:marLeft w:val="0"/>
      <w:marRight w:val="0"/>
      <w:marTop w:val="0"/>
      <w:marBottom w:val="0"/>
      <w:divBdr>
        <w:top w:val="none" w:sz="0" w:space="0" w:color="auto"/>
        <w:left w:val="none" w:sz="0" w:space="0" w:color="auto"/>
        <w:bottom w:val="none" w:sz="0" w:space="0" w:color="auto"/>
        <w:right w:val="none" w:sz="0" w:space="0" w:color="auto"/>
      </w:divBdr>
      <w:divsChild>
        <w:div w:id="1476800086">
          <w:marLeft w:val="0"/>
          <w:marRight w:val="0"/>
          <w:marTop w:val="0"/>
          <w:marBottom w:val="0"/>
          <w:divBdr>
            <w:top w:val="none" w:sz="0" w:space="0" w:color="auto"/>
            <w:left w:val="none" w:sz="0" w:space="0" w:color="auto"/>
            <w:bottom w:val="none" w:sz="0" w:space="0" w:color="auto"/>
            <w:right w:val="none" w:sz="0" w:space="0" w:color="auto"/>
          </w:divBdr>
        </w:div>
      </w:divsChild>
    </w:div>
    <w:div w:id="265312254">
      <w:bodyDiv w:val="1"/>
      <w:marLeft w:val="0"/>
      <w:marRight w:val="0"/>
      <w:marTop w:val="0"/>
      <w:marBottom w:val="0"/>
      <w:divBdr>
        <w:top w:val="none" w:sz="0" w:space="0" w:color="auto"/>
        <w:left w:val="none" w:sz="0" w:space="0" w:color="auto"/>
        <w:bottom w:val="none" w:sz="0" w:space="0" w:color="auto"/>
        <w:right w:val="none" w:sz="0" w:space="0" w:color="auto"/>
      </w:divBdr>
    </w:div>
    <w:div w:id="1251281479">
      <w:bodyDiv w:val="1"/>
      <w:marLeft w:val="0"/>
      <w:marRight w:val="0"/>
      <w:marTop w:val="0"/>
      <w:marBottom w:val="0"/>
      <w:divBdr>
        <w:top w:val="none" w:sz="0" w:space="0" w:color="auto"/>
        <w:left w:val="none" w:sz="0" w:space="0" w:color="auto"/>
        <w:bottom w:val="none" w:sz="0" w:space="0" w:color="auto"/>
        <w:right w:val="none" w:sz="0" w:space="0" w:color="auto"/>
      </w:divBdr>
    </w:div>
    <w:div w:id="2024745338">
      <w:bodyDiv w:val="1"/>
      <w:marLeft w:val="0"/>
      <w:marRight w:val="0"/>
      <w:marTop w:val="0"/>
      <w:marBottom w:val="0"/>
      <w:divBdr>
        <w:top w:val="none" w:sz="0" w:space="0" w:color="auto"/>
        <w:left w:val="none" w:sz="0" w:space="0" w:color="auto"/>
        <w:bottom w:val="none" w:sz="0" w:space="0" w:color="auto"/>
        <w:right w:val="none" w:sz="0" w:space="0" w:color="auto"/>
      </w:divBdr>
    </w:div>
    <w:div w:id="2096828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geguangbo@shutcm.edu.c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ubs.acs.org/doi/xx.xxx/acs.jcim.xxxxx" TargetMode="External"/><Relationship Id="rId2" Type="http://schemas.openxmlformats.org/officeDocument/2006/relationships/numbering" Target="numbering.xml"/><Relationship Id="rId16" Type="http://schemas.openxmlformats.org/officeDocument/2006/relationships/hyperlink" Target="https://github.com/wangwrx/An-uncertainty-guided-deep-learning-method-facilitates-rapid-screening-of-CYP3A4-inhibitor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mailto:guanxq@shutcm.edu.c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83BB0-D5D3-4A49-8E15-55BFE7564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24</Pages>
  <Words>31724</Words>
  <Characters>180831</Characters>
  <Application>Microsoft Office Word</Application>
  <DocSecurity>0</DocSecurity>
  <Lines>1506</Lines>
  <Paragraphs>424</Paragraphs>
  <ScaleCrop>false</ScaleCrop>
  <Company/>
  <LinksUpToDate>false</LinksUpToDate>
  <CharactersWithSpaces>212131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Guan Xiaoqing</dc:creator>
  <cp:lastModifiedBy>W Keer</cp:lastModifiedBy>
  <cp:revision>6</cp:revision>
  <dcterms:created xsi:type="dcterms:W3CDTF">2023-08-06T13:45:00Z</dcterms:created>
  <dcterms:modified xsi:type="dcterms:W3CDTF">2023-08-06T14:34:00Z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id="UfHQwK7d"/&gt;&lt;style id="http://www.zotero.org/styles/american-chemical-society" hasBibliography="1" bibliographyStyleHasBeenSet="1"/&gt;&lt;prefs&gt;&lt;pref name="fieldType" value="Field"/&gt;&lt;/prefs&gt;&lt;/data&gt;</vt:lpwstr>
  </property>
  <property fmtid="{D5CDD505-2E9C-101B-9397-08002B2CF9AE}" pid="3" name="KSOProductBuildVer">
    <vt:lpwstr>2052-11.1.0.14309</vt:lpwstr>
  </property>
  <property fmtid="{D5CDD505-2E9C-101B-9397-08002B2CF9AE}" pid="4" name="ICV">
    <vt:lpwstr>0F3F9937BC1E432981C168215DE8EE8E_12</vt:lpwstr>
  </property>
</Properties>
</file>