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43" w:rsidRDefault="00262943">
      <w:pPr>
        <w:rPr>
          <w:b/>
        </w:rPr>
      </w:pPr>
      <w:bookmarkStart w:id="0" w:name="_GoBack"/>
      <w:bookmarkEnd w:id="0"/>
    </w:p>
    <w:p w:rsidR="00864B87" w:rsidRPr="00EA154E" w:rsidRDefault="00864B87">
      <w:pPr>
        <w:rPr>
          <w:b/>
          <w:sz w:val="28"/>
          <w:szCs w:val="28"/>
        </w:rPr>
      </w:pPr>
      <w:r w:rsidRPr="00EA154E">
        <w:rPr>
          <w:b/>
          <w:sz w:val="28"/>
          <w:szCs w:val="28"/>
        </w:rPr>
        <w:t>Re: 2018 – 2019 UWCCSC MATH DEPARTMENT POLICIES</w:t>
      </w:r>
    </w:p>
    <w:p w:rsidR="00860CD6" w:rsidRDefault="00860CD6">
      <w:r>
        <w:t>Dear Math students,</w:t>
      </w:r>
    </w:p>
    <w:p w:rsidR="00860CD6" w:rsidRDefault="00860CD6">
      <w:r>
        <w:t xml:space="preserve">These are the policies that </w:t>
      </w:r>
      <w:r w:rsidR="004114E3">
        <w:t xml:space="preserve">will be implemented in </w:t>
      </w:r>
      <w:r>
        <w:t xml:space="preserve">the UWCCSC Math Department for the SY 2018 – 2019. Your </w:t>
      </w:r>
      <w:r w:rsidR="004114E3">
        <w:t>teacher will go over them</w:t>
      </w:r>
      <w:r>
        <w:t xml:space="preserve"> with you in class. Please make sure yo</w:t>
      </w:r>
      <w:r w:rsidR="004114E3">
        <w:t>u fully understand them</w:t>
      </w:r>
      <w:proofErr w:type="gramStart"/>
      <w:r w:rsidR="004114E3">
        <w:t xml:space="preserve">,  </w:t>
      </w:r>
      <w:r>
        <w:t>sign</w:t>
      </w:r>
      <w:proofErr w:type="gramEnd"/>
      <w:r>
        <w:t xml:space="preserve"> at the bottom of the page, scan and upload the entire document in </w:t>
      </w:r>
      <w:proofErr w:type="spellStart"/>
      <w:r>
        <w:t>ManageBac</w:t>
      </w:r>
      <w:proofErr w:type="spellEnd"/>
      <w:r>
        <w:t>. Your teacher will create an assignment for this in which you can upload it.</w:t>
      </w:r>
    </w:p>
    <w:p w:rsidR="004114E3" w:rsidRPr="00860CD6" w:rsidRDefault="004114E3"/>
    <w:p w:rsidR="00603BD7" w:rsidRPr="00633645" w:rsidRDefault="000F2CD7" w:rsidP="00F13AA6">
      <w:pPr>
        <w:jc w:val="center"/>
        <w:rPr>
          <w:b/>
          <w:sz w:val="28"/>
          <w:szCs w:val="28"/>
        </w:rPr>
      </w:pPr>
      <w:r>
        <w:rPr>
          <w:b/>
          <w:sz w:val="28"/>
          <w:szCs w:val="28"/>
        </w:rPr>
        <w:t>STUDENT TRANSFER</w:t>
      </w:r>
      <w:r w:rsidR="00147809">
        <w:rPr>
          <w:b/>
          <w:sz w:val="28"/>
          <w:szCs w:val="28"/>
        </w:rPr>
        <w:t>S</w:t>
      </w:r>
    </w:p>
    <w:p w:rsidR="00541915" w:rsidRDefault="00326EB0" w:rsidP="00541915">
      <w:pPr>
        <w:pStyle w:val="ListParagraph"/>
        <w:numPr>
          <w:ilvl w:val="0"/>
          <w:numId w:val="2"/>
        </w:numPr>
      </w:pPr>
      <w:r>
        <w:t xml:space="preserve">Students </w:t>
      </w:r>
      <w:r w:rsidR="00541915">
        <w:t>enroll to the Math class they believe that is best for them after considering important factors such as skill, interest and college requirement</w:t>
      </w:r>
      <w:r w:rsidR="005817B2">
        <w:t>s</w:t>
      </w:r>
      <w:r w:rsidR="00541915">
        <w:t>.</w:t>
      </w:r>
    </w:p>
    <w:p w:rsidR="006A3ADE" w:rsidRDefault="006A3ADE" w:rsidP="006A3ADE">
      <w:pPr>
        <w:pStyle w:val="ListParagraph"/>
      </w:pPr>
    </w:p>
    <w:p w:rsidR="006A3ADE" w:rsidRDefault="00541915" w:rsidP="006A3ADE">
      <w:pPr>
        <w:pStyle w:val="ListParagraph"/>
        <w:numPr>
          <w:ilvl w:val="0"/>
          <w:numId w:val="2"/>
        </w:numPr>
      </w:pPr>
      <w:r>
        <w:t>Students should be responsible to do their best in their class but if for one reason or another, they are convinced that there is a need to change their Math class, they may do so but should accept the following conditions:</w:t>
      </w:r>
    </w:p>
    <w:p w:rsidR="006A3ADE" w:rsidRDefault="006A3ADE" w:rsidP="006A3ADE">
      <w:pPr>
        <w:pStyle w:val="ListParagraph"/>
      </w:pPr>
    </w:p>
    <w:p w:rsidR="001364D4" w:rsidRDefault="001364D4" w:rsidP="00541915">
      <w:pPr>
        <w:pStyle w:val="ListParagraph"/>
        <w:numPr>
          <w:ilvl w:val="0"/>
          <w:numId w:val="3"/>
        </w:numPr>
      </w:pPr>
      <w:r>
        <w:t>Their t</w:t>
      </w:r>
      <w:r w:rsidR="00F35D41">
        <w:t>ransfer should follow</w:t>
      </w:r>
      <w:r>
        <w:t xml:space="preserve"> the school policy.</w:t>
      </w:r>
    </w:p>
    <w:p w:rsidR="002E3468" w:rsidRDefault="002E3468" w:rsidP="00541915">
      <w:pPr>
        <w:pStyle w:val="ListParagraph"/>
        <w:numPr>
          <w:ilvl w:val="0"/>
          <w:numId w:val="3"/>
        </w:numPr>
      </w:pPr>
      <w:r>
        <w:t>They are responsible in catching up with the lessons and meeting the pending requirements of the class they are transferring to.</w:t>
      </w:r>
    </w:p>
    <w:p w:rsidR="00370CCA" w:rsidRDefault="00370CCA" w:rsidP="00541915">
      <w:pPr>
        <w:pStyle w:val="ListParagraph"/>
        <w:numPr>
          <w:ilvl w:val="0"/>
          <w:numId w:val="3"/>
        </w:numPr>
      </w:pPr>
      <w:r>
        <w:t>Textbooks given from their previous classes should be returned to their teacher if they are transferring to another Math class.</w:t>
      </w:r>
    </w:p>
    <w:p w:rsidR="00720E69" w:rsidRDefault="002E3468" w:rsidP="00F4440A">
      <w:pPr>
        <w:pStyle w:val="ListParagraph"/>
        <w:numPr>
          <w:ilvl w:val="0"/>
          <w:numId w:val="7"/>
        </w:numPr>
        <w:spacing w:line="254" w:lineRule="auto"/>
      </w:pPr>
      <w:r w:rsidRPr="00633645">
        <w:rPr>
          <w:b/>
        </w:rPr>
        <w:t>All the grades that they have in their class will not be considered</w:t>
      </w:r>
      <w:r>
        <w:t xml:space="preserve"> at all in their term grade for the new class.</w:t>
      </w:r>
      <w:r w:rsidR="00F4440A">
        <w:t xml:space="preserve"> That is, their term grade would only take into account the grades that they will have in their new class.</w:t>
      </w:r>
    </w:p>
    <w:p w:rsidR="001364D4" w:rsidRDefault="002E3468" w:rsidP="001364D4">
      <w:pPr>
        <w:pStyle w:val="ListParagraph"/>
        <w:numPr>
          <w:ilvl w:val="0"/>
          <w:numId w:val="3"/>
        </w:numPr>
      </w:pPr>
      <w:r>
        <w:t xml:space="preserve">Only upon their new teacher’s discretion, they may have to take some summative assessments on previous topics that </w:t>
      </w:r>
      <w:r w:rsidR="006002A0">
        <w:t xml:space="preserve">had </w:t>
      </w:r>
      <w:r>
        <w:t xml:space="preserve">been covered in their new class. </w:t>
      </w:r>
    </w:p>
    <w:p w:rsidR="001364D4" w:rsidRPr="00633645" w:rsidRDefault="001364D4" w:rsidP="00F13AA6">
      <w:pPr>
        <w:jc w:val="center"/>
        <w:rPr>
          <w:b/>
          <w:sz w:val="28"/>
          <w:szCs w:val="28"/>
        </w:rPr>
      </w:pPr>
      <w:r w:rsidRPr="00633645">
        <w:rPr>
          <w:b/>
          <w:sz w:val="28"/>
          <w:szCs w:val="28"/>
        </w:rPr>
        <w:t>A</w:t>
      </w:r>
      <w:r w:rsidR="000F2CD7">
        <w:rPr>
          <w:b/>
          <w:sz w:val="28"/>
          <w:szCs w:val="28"/>
        </w:rPr>
        <w:t>SSESSMENT</w:t>
      </w:r>
      <w:r w:rsidR="00894193">
        <w:rPr>
          <w:b/>
          <w:sz w:val="28"/>
          <w:szCs w:val="28"/>
        </w:rPr>
        <w:t>S</w:t>
      </w:r>
    </w:p>
    <w:p w:rsidR="00E8018F" w:rsidRPr="001D6946" w:rsidRDefault="00C20A26" w:rsidP="007702D5">
      <w:pPr>
        <w:pStyle w:val="ListParagraph"/>
        <w:numPr>
          <w:ilvl w:val="0"/>
          <w:numId w:val="4"/>
        </w:numPr>
        <w:rPr>
          <w:highlight w:val="yellow"/>
        </w:rPr>
      </w:pPr>
      <w:r w:rsidRPr="001D6946">
        <w:rPr>
          <w:highlight w:val="yellow"/>
        </w:rPr>
        <w:t xml:space="preserve">Assessments </w:t>
      </w:r>
      <w:r w:rsidR="00AF25E2">
        <w:rPr>
          <w:highlight w:val="yellow"/>
        </w:rPr>
        <w:t xml:space="preserve">will </w:t>
      </w:r>
      <w:r w:rsidRPr="001D6946">
        <w:rPr>
          <w:highlight w:val="yellow"/>
        </w:rPr>
        <w:t>co</w:t>
      </w:r>
      <w:r w:rsidR="00147809">
        <w:rPr>
          <w:highlight w:val="yellow"/>
        </w:rPr>
        <w:t xml:space="preserve">nsist of tests, </w:t>
      </w:r>
      <w:proofErr w:type="gramStart"/>
      <w:r w:rsidR="00147809">
        <w:rPr>
          <w:highlight w:val="yellow"/>
        </w:rPr>
        <w:t xml:space="preserve">projects </w:t>
      </w:r>
      <w:r w:rsidRPr="001D6946">
        <w:rPr>
          <w:highlight w:val="yellow"/>
        </w:rPr>
        <w:t xml:space="preserve"> </w:t>
      </w:r>
      <w:r w:rsidR="00147809">
        <w:rPr>
          <w:highlight w:val="yellow"/>
        </w:rPr>
        <w:t>(</w:t>
      </w:r>
      <w:proofErr w:type="gramEnd"/>
      <w:r w:rsidRPr="001D6946">
        <w:rPr>
          <w:highlight w:val="yellow"/>
        </w:rPr>
        <w:t>e.g. practice IA for DP SL and HL students</w:t>
      </w:r>
      <w:r w:rsidR="00E8018F" w:rsidRPr="001D6946">
        <w:rPr>
          <w:highlight w:val="yellow"/>
        </w:rPr>
        <w:t xml:space="preserve">) and the DP2 IA that is submitted to the IB. The dates and deadlines for these assessments will be posted in </w:t>
      </w:r>
      <w:proofErr w:type="spellStart"/>
      <w:r w:rsidR="00E8018F" w:rsidRPr="001D6946">
        <w:rPr>
          <w:highlight w:val="yellow"/>
        </w:rPr>
        <w:t>ManageBac</w:t>
      </w:r>
      <w:proofErr w:type="spellEnd"/>
      <w:r w:rsidR="00E8018F" w:rsidRPr="001D6946">
        <w:rPr>
          <w:highlight w:val="yellow"/>
        </w:rPr>
        <w:t xml:space="preserve"> at the beginning of the school ye</w:t>
      </w:r>
      <w:r w:rsidR="001D6946" w:rsidRPr="001D6946">
        <w:rPr>
          <w:highlight w:val="yellow"/>
        </w:rPr>
        <w:t>a</w:t>
      </w:r>
      <w:r w:rsidR="00E8018F" w:rsidRPr="001D6946">
        <w:rPr>
          <w:highlight w:val="yellow"/>
        </w:rPr>
        <w:t>r.</w:t>
      </w:r>
    </w:p>
    <w:p w:rsidR="00E8018F" w:rsidRDefault="00E8018F" w:rsidP="00E8018F">
      <w:pPr>
        <w:pStyle w:val="ListParagraph"/>
      </w:pPr>
    </w:p>
    <w:p w:rsidR="001D6946" w:rsidRPr="001D6946" w:rsidRDefault="00E8018F" w:rsidP="001D6946">
      <w:pPr>
        <w:pStyle w:val="ListParagraph"/>
        <w:numPr>
          <w:ilvl w:val="0"/>
          <w:numId w:val="4"/>
        </w:numPr>
        <w:rPr>
          <w:highlight w:val="yellow"/>
        </w:rPr>
      </w:pPr>
      <w:r w:rsidRPr="001D6946">
        <w:rPr>
          <w:highlight w:val="yellow"/>
        </w:rPr>
        <w:t xml:space="preserve">Tests </w:t>
      </w:r>
      <w:r w:rsidR="001D6946" w:rsidRPr="001D6946">
        <w:rPr>
          <w:highlight w:val="yellow"/>
        </w:rPr>
        <w:t xml:space="preserve">can be either </w:t>
      </w:r>
      <w:r w:rsidR="00513A84">
        <w:rPr>
          <w:highlight w:val="yellow"/>
        </w:rPr>
        <w:t xml:space="preserve">unit tests or short tests and will be collectively called “Tests”. </w:t>
      </w:r>
      <w:r w:rsidRPr="001D6946">
        <w:rPr>
          <w:highlight w:val="yellow"/>
        </w:rPr>
        <w:t xml:space="preserve">Short tests would normally take around 15 minutes to write. All tests </w:t>
      </w:r>
      <w:r w:rsidR="001D6946" w:rsidRPr="001D6946">
        <w:rPr>
          <w:highlight w:val="yellow"/>
        </w:rPr>
        <w:t>will</w:t>
      </w:r>
      <w:r w:rsidRPr="001D6946">
        <w:rPr>
          <w:highlight w:val="yellow"/>
        </w:rPr>
        <w:t xml:space="preserve"> all be summative and departmental</w:t>
      </w:r>
      <w:r w:rsidR="00AF25E2">
        <w:rPr>
          <w:highlight w:val="yellow"/>
        </w:rPr>
        <w:t>. Individual t</w:t>
      </w:r>
      <w:r w:rsidRPr="001D6946">
        <w:rPr>
          <w:highlight w:val="yellow"/>
        </w:rPr>
        <w:t>eachers</w:t>
      </w:r>
      <w:r w:rsidR="001D6946" w:rsidRPr="001D6946">
        <w:rPr>
          <w:highlight w:val="yellow"/>
        </w:rPr>
        <w:t xml:space="preserve"> may give formative quizzes that will not count on the grade.</w:t>
      </w:r>
    </w:p>
    <w:p w:rsidR="001D6946" w:rsidRDefault="001D6946" w:rsidP="001D6946">
      <w:pPr>
        <w:pStyle w:val="ListParagraph"/>
      </w:pPr>
    </w:p>
    <w:p w:rsidR="007702D5" w:rsidRDefault="007702D5" w:rsidP="00443532">
      <w:pPr>
        <w:pStyle w:val="ListParagraph"/>
        <w:numPr>
          <w:ilvl w:val="0"/>
          <w:numId w:val="4"/>
        </w:numPr>
      </w:pPr>
      <w:r>
        <w:t xml:space="preserve">The </w:t>
      </w:r>
      <w:r w:rsidR="001D6946">
        <w:t>assessment</w:t>
      </w:r>
      <w:r>
        <w:t xml:space="preserve"> dates will be posted in </w:t>
      </w:r>
      <w:proofErr w:type="spellStart"/>
      <w:r>
        <w:t>ManageBac</w:t>
      </w:r>
      <w:proofErr w:type="spellEnd"/>
      <w:r>
        <w:t xml:space="preserve"> at the beginning of the school year. </w:t>
      </w:r>
    </w:p>
    <w:p w:rsidR="001D6946" w:rsidRDefault="001D6946" w:rsidP="001D6946">
      <w:pPr>
        <w:pStyle w:val="ListParagraph"/>
      </w:pPr>
    </w:p>
    <w:p w:rsidR="006002A0" w:rsidRDefault="006002A0" w:rsidP="006002A0">
      <w:pPr>
        <w:pStyle w:val="ListParagraph"/>
        <w:numPr>
          <w:ilvl w:val="0"/>
          <w:numId w:val="4"/>
        </w:numPr>
      </w:pPr>
      <w:r>
        <w:t>An unexcused absence in an assessment will be marked with a zero.</w:t>
      </w:r>
    </w:p>
    <w:p w:rsidR="006A3ADE" w:rsidRDefault="006A3ADE" w:rsidP="006A3ADE">
      <w:pPr>
        <w:pStyle w:val="ListParagraph"/>
      </w:pPr>
    </w:p>
    <w:p w:rsidR="006A3ADE" w:rsidRPr="00C20A26" w:rsidRDefault="006002A0" w:rsidP="001D6946">
      <w:pPr>
        <w:pStyle w:val="ListParagraph"/>
        <w:numPr>
          <w:ilvl w:val="0"/>
          <w:numId w:val="4"/>
        </w:numPr>
        <w:rPr>
          <w:highlight w:val="yellow"/>
        </w:rPr>
      </w:pPr>
      <w:r w:rsidRPr="00C20A26">
        <w:rPr>
          <w:highlight w:val="yellow"/>
        </w:rPr>
        <w:lastRenderedPageBreak/>
        <w:t xml:space="preserve">Students </w:t>
      </w:r>
      <w:r w:rsidR="00FD49CE">
        <w:rPr>
          <w:highlight w:val="yellow"/>
        </w:rPr>
        <w:t>are required to make up a missed</w:t>
      </w:r>
      <w:r w:rsidR="00C20A26" w:rsidRPr="00C20A26">
        <w:rPr>
          <w:highlight w:val="yellow"/>
        </w:rPr>
        <w:t xml:space="preserve"> assessment if their absence is excused. The</w:t>
      </w:r>
      <w:r w:rsidR="00FD49CE">
        <w:rPr>
          <w:highlight w:val="yellow"/>
        </w:rPr>
        <w:t>y must do so</w:t>
      </w:r>
      <w:r w:rsidR="00C20A26" w:rsidRPr="00C20A26">
        <w:rPr>
          <w:highlight w:val="yellow"/>
        </w:rPr>
        <w:t xml:space="preserve"> within the 2</w:t>
      </w:r>
      <w:r w:rsidR="00C20A26" w:rsidRPr="00C20A26">
        <w:rPr>
          <w:highlight w:val="yellow"/>
          <w:vertAlign w:val="superscript"/>
        </w:rPr>
        <w:t>nd</w:t>
      </w:r>
      <w:r w:rsidR="00C20A26" w:rsidRPr="00C20A26">
        <w:rPr>
          <w:highlight w:val="yellow"/>
        </w:rPr>
        <w:t xml:space="preserve"> day they go back to classes</w:t>
      </w:r>
      <w:r w:rsidR="001D6946">
        <w:rPr>
          <w:highlight w:val="yellow"/>
        </w:rPr>
        <w:t xml:space="preserve"> or school</w:t>
      </w:r>
      <w:r w:rsidR="00C20A26" w:rsidRPr="00C20A26">
        <w:rPr>
          <w:highlight w:val="yellow"/>
        </w:rPr>
        <w:t xml:space="preserve">, </w:t>
      </w:r>
      <w:r w:rsidR="00C20A26" w:rsidRPr="00FD49CE">
        <w:rPr>
          <w:b/>
          <w:highlight w:val="yellow"/>
        </w:rPr>
        <w:t>not later</w:t>
      </w:r>
      <w:r w:rsidR="00C20A26" w:rsidRPr="00C20A26">
        <w:rPr>
          <w:highlight w:val="yellow"/>
        </w:rPr>
        <w:t>. Otherwise, they would get a mark of zero for that missed assessment.</w:t>
      </w:r>
    </w:p>
    <w:p w:rsidR="006A3ADE" w:rsidRDefault="006A3ADE" w:rsidP="006A3ADE">
      <w:pPr>
        <w:pStyle w:val="ListParagraph"/>
      </w:pPr>
    </w:p>
    <w:p w:rsidR="006002A0" w:rsidRDefault="00BB2206" w:rsidP="006002A0">
      <w:pPr>
        <w:pStyle w:val="ListParagraph"/>
        <w:numPr>
          <w:ilvl w:val="0"/>
          <w:numId w:val="4"/>
        </w:numPr>
      </w:pPr>
      <w:r>
        <w:t>Students who feel</w:t>
      </w:r>
      <w:r w:rsidR="006002A0">
        <w:t xml:space="preserve"> sick once </w:t>
      </w:r>
      <w:r w:rsidR="00E66D55">
        <w:t>they have started a test or a quiz</w:t>
      </w:r>
      <w:r>
        <w:t xml:space="preserve"> </w:t>
      </w:r>
      <w:r w:rsidR="006A3ADE">
        <w:t>will not</w:t>
      </w:r>
      <w:r w:rsidR="00FD49CE">
        <w:t xml:space="preserve"> have any valid reason to re-take</w:t>
      </w:r>
      <w:r w:rsidR="006002A0">
        <w:t xml:space="preserve"> it</w:t>
      </w:r>
      <w:r>
        <w:t>. That assessment will be marked with no special consideration.</w:t>
      </w:r>
    </w:p>
    <w:p w:rsidR="006A3ADE" w:rsidRDefault="006A3ADE" w:rsidP="006A3ADE">
      <w:pPr>
        <w:pStyle w:val="ListParagraph"/>
      </w:pPr>
    </w:p>
    <w:p w:rsidR="004114E3" w:rsidRDefault="00BB2206" w:rsidP="004114E3">
      <w:pPr>
        <w:pStyle w:val="ListParagraph"/>
        <w:numPr>
          <w:ilvl w:val="0"/>
          <w:numId w:val="4"/>
        </w:numPr>
      </w:pPr>
      <w:r>
        <w:t>Late submission o</w:t>
      </w:r>
      <w:r w:rsidR="00E66D55">
        <w:t xml:space="preserve">f DP1 </w:t>
      </w:r>
      <w:r>
        <w:t>projects and practice IA will not be tolerated</w:t>
      </w:r>
      <w:r w:rsidR="00391762">
        <w:t xml:space="preserve"> at all</w:t>
      </w:r>
      <w:r w:rsidRPr="00EB6B81">
        <w:rPr>
          <w:b/>
        </w:rPr>
        <w:t xml:space="preserve">. The deadlines </w:t>
      </w:r>
      <w:r w:rsidR="007702D5">
        <w:rPr>
          <w:b/>
        </w:rPr>
        <w:t xml:space="preserve">for these assessments </w:t>
      </w:r>
      <w:r w:rsidRPr="00EB6B81">
        <w:rPr>
          <w:b/>
        </w:rPr>
        <w:t>will always be at 4:00 pm of the deadline date.</w:t>
      </w:r>
      <w:r>
        <w:t xml:space="preserve"> A grade of zero will be awarded for missing the deadline</w:t>
      </w:r>
      <w:r w:rsidR="007702D5">
        <w:t xml:space="preserve"> </w:t>
      </w:r>
      <w:r w:rsidR="001D6946" w:rsidRPr="001D6946">
        <w:rPr>
          <w:highlight w:val="yellow"/>
        </w:rPr>
        <w:t>and n</w:t>
      </w:r>
      <w:r w:rsidR="00C20A26" w:rsidRPr="001D6946">
        <w:rPr>
          <w:highlight w:val="yellow"/>
        </w:rPr>
        <w:t xml:space="preserve">o feedback will </w:t>
      </w:r>
      <w:r w:rsidRPr="001D6946">
        <w:rPr>
          <w:highlight w:val="yellow"/>
        </w:rPr>
        <w:t xml:space="preserve">be given </w:t>
      </w:r>
      <w:r w:rsidR="001D6946">
        <w:rPr>
          <w:highlight w:val="yellow"/>
        </w:rPr>
        <w:t xml:space="preserve">to the students </w:t>
      </w:r>
      <w:r w:rsidRPr="001D6946">
        <w:rPr>
          <w:highlight w:val="yellow"/>
        </w:rPr>
        <w:t xml:space="preserve">on </w:t>
      </w:r>
      <w:r w:rsidR="00C20A26" w:rsidRPr="001D6946">
        <w:rPr>
          <w:highlight w:val="yellow"/>
        </w:rPr>
        <w:t>these assessments.</w:t>
      </w:r>
    </w:p>
    <w:p w:rsidR="004114E3" w:rsidRDefault="004114E3" w:rsidP="004114E3">
      <w:pPr>
        <w:pStyle w:val="ListParagraph"/>
      </w:pPr>
    </w:p>
    <w:p w:rsidR="00BB2206" w:rsidRDefault="00BB2206" w:rsidP="006002A0">
      <w:pPr>
        <w:pStyle w:val="ListParagraph"/>
        <w:numPr>
          <w:ilvl w:val="0"/>
          <w:numId w:val="4"/>
        </w:numPr>
      </w:pPr>
      <w:r>
        <w:t xml:space="preserve">For the DP2 Internal Assessment, late submission of the draft will mean no </w:t>
      </w:r>
      <w:r w:rsidR="00AF1A48">
        <w:t>feedback given to the students for their final submission.</w:t>
      </w:r>
    </w:p>
    <w:p w:rsidR="006A3ADE" w:rsidRDefault="006A3ADE" w:rsidP="006A3ADE">
      <w:pPr>
        <w:pStyle w:val="ListParagraph"/>
      </w:pPr>
    </w:p>
    <w:p w:rsidR="00BB2206" w:rsidRDefault="006A3ADE" w:rsidP="006A3ADE">
      <w:pPr>
        <w:pStyle w:val="ListParagraph"/>
        <w:numPr>
          <w:ilvl w:val="0"/>
          <w:numId w:val="4"/>
        </w:numPr>
      </w:pPr>
      <w:r>
        <w:t>Students who miss the final DP2 Internal Assessment deadline will be referred to the Dean of Studies and the IB Diploma Coordinator and will be put in probation. The probation may consist of detention but not only limited to it.</w:t>
      </w:r>
      <w:r w:rsidR="007702D5">
        <w:t xml:space="preserve"> Ot</w:t>
      </w:r>
      <w:r w:rsidR="00E66D55">
        <w:t>her consequences may be imposed as well.</w:t>
      </w:r>
    </w:p>
    <w:p w:rsidR="007702D5" w:rsidRDefault="007702D5" w:rsidP="007702D5">
      <w:pPr>
        <w:pStyle w:val="ListParagraph"/>
      </w:pPr>
    </w:p>
    <w:p w:rsidR="007702D5" w:rsidRDefault="007702D5" w:rsidP="007702D5">
      <w:pPr>
        <w:pStyle w:val="ListParagraph"/>
        <w:numPr>
          <w:ilvl w:val="0"/>
          <w:numId w:val="4"/>
        </w:numPr>
      </w:pPr>
      <w:r>
        <w:t>Calculation of term grade</w:t>
      </w:r>
      <w:r w:rsidR="00825840">
        <w:t>s</w:t>
      </w:r>
    </w:p>
    <w:tbl>
      <w:tblPr>
        <w:tblStyle w:val="TableGrid"/>
        <w:tblW w:w="0" w:type="auto"/>
        <w:tblInd w:w="1255" w:type="dxa"/>
        <w:tblLook w:val="04A0" w:firstRow="1" w:lastRow="0" w:firstColumn="1" w:lastColumn="0" w:noHBand="0" w:noVBand="1"/>
      </w:tblPr>
      <w:tblGrid>
        <w:gridCol w:w="1710"/>
        <w:gridCol w:w="2157"/>
        <w:gridCol w:w="1533"/>
      </w:tblGrid>
      <w:tr w:rsidR="00C20A26" w:rsidTr="00C20A26">
        <w:trPr>
          <w:trHeight w:val="233"/>
        </w:trPr>
        <w:tc>
          <w:tcPr>
            <w:tcW w:w="1710" w:type="dxa"/>
          </w:tcPr>
          <w:p w:rsidR="00C20A26" w:rsidRDefault="00C20A26" w:rsidP="00024E6D"/>
        </w:tc>
        <w:tc>
          <w:tcPr>
            <w:tcW w:w="2157" w:type="dxa"/>
          </w:tcPr>
          <w:p w:rsidR="00C20A26" w:rsidRDefault="00C20A26" w:rsidP="001D6946">
            <w:pPr>
              <w:jc w:val="center"/>
            </w:pPr>
            <w:r w:rsidRPr="00C20A26">
              <w:rPr>
                <w:highlight w:val="yellow"/>
              </w:rPr>
              <w:t>TESTS</w:t>
            </w:r>
          </w:p>
        </w:tc>
        <w:tc>
          <w:tcPr>
            <w:tcW w:w="1533" w:type="dxa"/>
          </w:tcPr>
          <w:p w:rsidR="00C20A26" w:rsidRDefault="00C20A26" w:rsidP="00024E6D">
            <w:pPr>
              <w:jc w:val="center"/>
            </w:pPr>
            <w:r>
              <w:t>PRACTICE IA</w:t>
            </w:r>
          </w:p>
        </w:tc>
      </w:tr>
      <w:tr w:rsidR="00C20A26" w:rsidTr="00C20A26">
        <w:tc>
          <w:tcPr>
            <w:tcW w:w="1710" w:type="dxa"/>
          </w:tcPr>
          <w:p w:rsidR="00C20A26" w:rsidRDefault="00C20A26" w:rsidP="00024E6D">
            <w:pPr>
              <w:jc w:val="center"/>
            </w:pPr>
            <w:r>
              <w:t>1</w:t>
            </w:r>
            <w:r w:rsidRPr="00720E69">
              <w:rPr>
                <w:vertAlign w:val="superscript"/>
              </w:rPr>
              <w:t>st</w:t>
            </w:r>
            <w:r>
              <w:t xml:space="preserve"> TERM*</w:t>
            </w:r>
          </w:p>
        </w:tc>
        <w:tc>
          <w:tcPr>
            <w:tcW w:w="2157" w:type="dxa"/>
          </w:tcPr>
          <w:p w:rsidR="00C20A26" w:rsidRDefault="00C20A26" w:rsidP="00024E6D">
            <w:pPr>
              <w:jc w:val="center"/>
            </w:pPr>
            <w:r>
              <w:t>100%</w:t>
            </w:r>
          </w:p>
        </w:tc>
        <w:tc>
          <w:tcPr>
            <w:tcW w:w="1533" w:type="dxa"/>
          </w:tcPr>
          <w:p w:rsidR="00C20A26" w:rsidRDefault="00C20A26" w:rsidP="00024E6D">
            <w:pPr>
              <w:jc w:val="center"/>
            </w:pPr>
            <w:r>
              <w:t>--</w:t>
            </w:r>
          </w:p>
        </w:tc>
      </w:tr>
      <w:tr w:rsidR="00C20A26" w:rsidTr="00C20A26">
        <w:tc>
          <w:tcPr>
            <w:tcW w:w="1710" w:type="dxa"/>
          </w:tcPr>
          <w:p w:rsidR="00C20A26" w:rsidRDefault="00C20A26" w:rsidP="00024E6D">
            <w:pPr>
              <w:jc w:val="center"/>
            </w:pPr>
            <w:r>
              <w:t>2</w:t>
            </w:r>
            <w:r w:rsidRPr="00720E69">
              <w:rPr>
                <w:vertAlign w:val="superscript"/>
              </w:rPr>
              <w:t>ND</w:t>
            </w:r>
            <w:r>
              <w:t xml:space="preserve"> TERM</w:t>
            </w:r>
          </w:p>
        </w:tc>
        <w:tc>
          <w:tcPr>
            <w:tcW w:w="2157" w:type="dxa"/>
          </w:tcPr>
          <w:p w:rsidR="00C20A26" w:rsidRDefault="00C20A26" w:rsidP="00A86BD8">
            <w:pPr>
              <w:jc w:val="center"/>
            </w:pPr>
            <w:r>
              <w:t>80%</w:t>
            </w:r>
          </w:p>
        </w:tc>
        <w:tc>
          <w:tcPr>
            <w:tcW w:w="1533" w:type="dxa"/>
          </w:tcPr>
          <w:p w:rsidR="00C20A26" w:rsidRDefault="00C20A26" w:rsidP="00024E6D">
            <w:pPr>
              <w:jc w:val="center"/>
            </w:pPr>
            <w:r>
              <w:t>20%</w:t>
            </w:r>
          </w:p>
        </w:tc>
      </w:tr>
    </w:tbl>
    <w:p w:rsidR="007702D5" w:rsidRDefault="007702D5" w:rsidP="007702D5"/>
    <w:p w:rsidR="007702D5" w:rsidRDefault="007702D5" w:rsidP="00A513A0">
      <w:pPr>
        <w:ind w:left="720"/>
      </w:pPr>
      <w:r>
        <w:t>* If there is a project given</w:t>
      </w:r>
      <w:r w:rsidR="00FD49CE">
        <w:t>, then the calculation will be 8</w:t>
      </w:r>
      <w:r>
        <w:t>0% Tests and 20% Project</w:t>
      </w:r>
    </w:p>
    <w:p w:rsidR="007702D5" w:rsidRDefault="007702D5" w:rsidP="007702D5">
      <w:pPr>
        <w:pStyle w:val="ListParagraph"/>
        <w:numPr>
          <w:ilvl w:val="0"/>
          <w:numId w:val="4"/>
        </w:numPr>
      </w:pPr>
      <w:r>
        <w:t>Calculation of year-end grade</w:t>
      </w:r>
    </w:p>
    <w:p w:rsidR="007702D5" w:rsidRDefault="007702D5" w:rsidP="007702D5">
      <w:pPr>
        <w:pStyle w:val="ListParagraph"/>
      </w:pPr>
    </w:p>
    <w:tbl>
      <w:tblPr>
        <w:tblStyle w:val="TableGrid"/>
        <w:tblW w:w="0" w:type="auto"/>
        <w:tblInd w:w="1255" w:type="dxa"/>
        <w:tblLook w:val="04A0" w:firstRow="1" w:lastRow="0" w:firstColumn="1" w:lastColumn="0" w:noHBand="0" w:noVBand="1"/>
      </w:tblPr>
      <w:tblGrid>
        <w:gridCol w:w="1800"/>
        <w:gridCol w:w="2430"/>
        <w:gridCol w:w="3060"/>
      </w:tblGrid>
      <w:tr w:rsidR="007702D5" w:rsidTr="00A86BD8">
        <w:tc>
          <w:tcPr>
            <w:tcW w:w="1800" w:type="dxa"/>
          </w:tcPr>
          <w:p w:rsidR="007702D5" w:rsidRDefault="007702D5" w:rsidP="00024E6D">
            <w:pPr>
              <w:pStyle w:val="ListParagraph"/>
              <w:ind w:left="0"/>
              <w:jc w:val="center"/>
            </w:pPr>
            <w:r>
              <w:t>1</w:t>
            </w:r>
            <w:r w:rsidRPr="001364D4">
              <w:rPr>
                <w:vertAlign w:val="superscript"/>
              </w:rPr>
              <w:t>st</w:t>
            </w:r>
            <w:r>
              <w:t xml:space="preserve"> TERM</w:t>
            </w:r>
          </w:p>
        </w:tc>
        <w:tc>
          <w:tcPr>
            <w:tcW w:w="2430" w:type="dxa"/>
          </w:tcPr>
          <w:p w:rsidR="007702D5" w:rsidRDefault="007702D5" w:rsidP="00024E6D">
            <w:pPr>
              <w:pStyle w:val="ListParagraph"/>
              <w:ind w:left="0"/>
              <w:jc w:val="center"/>
            </w:pPr>
            <w:r>
              <w:t>2</w:t>
            </w:r>
            <w:r w:rsidRPr="001364D4">
              <w:rPr>
                <w:vertAlign w:val="superscript"/>
              </w:rPr>
              <w:t>ND</w:t>
            </w:r>
            <w:r>
              <w:t xml:space="preserve"> TERM</w:t>
            </w:r>
          </w:p>
        </w:tc>
        <w:tc>
          <w:tcPr>
            <w:tcW w:w="3060" w:type="dxa"/>
          </w:tcPr>
          <w:p w:rsidR="007702D5" w:rsidRDefault="007702D5" w:rsidP="00024E6D">
            <w:pPr>
              <w:pStyle w:val="ListParagraph"/>
              <w:ind w:left="0"/>
              <w:jc w:val="center"/>
            </w:pPr>
            <w:r>
              <w:t>YEAR-END TEST</w:t>
            </w:r>
            <w:r w:rsidR="00A86BD8">
              <w:t xml:space="preserve"> AVERAGE</w:t>
            </w:r>
          </w:p>
        </w:tc>
      </w:tr>
      <w:tr w:rsidR="007702D5" w:rsidTr="00A86BD8">
        <w:tc>
          <w:tcPr>
            <w:tcW w:w="1800" w:type="dxa"/>
          </w:tcPr>
          <w:p w:rsidR="007702D5" w:rsidRDefault="007702D5" w:rsidP="00024E6D">
            <w:pPr>
              <w:pStyle w:val="ListParagraph"/>
              <w:ind w:left="0"/>
              <w:jc w:val="center"/>
            </w:pPr>
            <w:r>
              <w:t>40%</w:t>
            </w:r>
          </w:p>
        </w:tc>
        <w:tc>
          <w:tcPr>
            <w:tcW w:w="2430" w:type="dxa"/>
          </w:tcPr>
          <w:p w:rsidR="007702D5" w:rsidRDefault="007702D5" w:rsidP="00024E6D">
            <w:pPr>
              <w:pStyle w:val="ListParagraph"/>
              <w:ind w:left="0"/>
              <w:jc w:val="center"/>
            </w:pPr>
            <w:r>
              <w:t>40%</w:t>
            </w:r>
          </w:p>
        </w:tc>
        <w:tc>
          <w:tcPr>
            <w:tcW w:w="3060" w:type="dxa"/>
          </w:tcPr>
          <w:p w:rsidR="007702D5" w:rsidRDefault="007702D5" w:rsidP="00024E6D">
            <w:pPr>
              <w:pStyle w:val="ListParagraph"/>
              <w:ind w:left="0"/>
              <w:jc w:val="center"/>
            </w:pPr>
            <w:r>
              <w:t>20%</w:t>
            </w:r>
          </w:p>
        </w:tc>
      </w:tr>
    </w:tbl>
    <w:p w:rsidR="00633645" w:rsidRDefault="00633645" w:rsidP="00A86BD8"/>
    <w:p w:rsidR="00A86BD8" w:rsidRPr="00A86BD8" w:rsidRDefault="00A86BD8" w:rsidP="00A86BD8">
      <w:pPr>
        <w:pStyle w:val="ListParagraph"/>
        <w:numPr>
          <w:ilvl w:val="0"/>
          <w:numId w:val="4"/>
        </w:numPr>
        <w:rPr>
          <w:highlight w:val="yellow"/>
        </w:rPr>
      </w:pPr>
      <w:r w:rsidRPr="00A86BD8">
        <w:rPr>
          <w:highlight w:val="yellow"/>
        </w:rPr>
        <w:t>Grade boundaries*</w:t>
      </w:r>
    </w:p>
    <w:tbl>
      <w:tblPr>
        <w:tblStyle w:val="TableGrid"/>
        <w:tblW w:w="0" w:type="auto"/>
        <w:tblLook w:val="04A0" w:firstRow="1" w:lastRow="0" w:firstColumn="1" w:lastColumn="0" w:noHBand="0" w:noVBand="1"/>
      </w:tblPr>
      <w:tblGrid>
        <w:gridCol w:w="1615"/>
        <w:gridCol w:w="1080"/>
        <w:gridCol w:w="1080"/>
        <w:gridCol w:w="1080"/>
        <w:gridCol w:w="988"/>
        <w:gridCol w:w="1169"/>
        <w:gridCol w:w="1169"/>
        <w:gridCol w:w="1169"/>
      </w:tblGrid>
      <w:tr w:rsidR="00A86BD8" w:rsidTr="00A86BD8">
        <w:tc>
          <w:tcPr>
            <w:tcW w:w="1615" w:type="dxa"/>
          </w:tcPr>
          <w:p w:rsidR="00A86BD8" w:rsidRDefault="00A86BD8" w:rsidP="00A86BD8">
            <w:pPr>
              <w:jc w:val="center"/>
            </w:pPr>
          </w:p>
        </w:tc>
        <w:tc>
          <w:tcPr>
            <w:tcW w:w="1080" w:type="dxa"/>
          </w:tcPr>
          <w:p w:rsidR="00A86BD8" w:rsidRDefault="00A86BD8" w:rsidP="00A86BD8">
            <w:pPr>
              <w:jc w:val="center"/>
            </w:pPr>
            <w:r>
              <w:t>1</w:t>
            </w:r>
          </w:p>
        </w:tc>
        <w:tc>
          <w:tcPr>
            <w:tcW w:w="1080" w:type="dxa"/>
          </w:tcPr>
          <w:p w:rsidR="00A86BD8" w:rsidRDefault="00A86BD8" w:rsidP="00A86BD8">
            <w:pPr>
              <w:jc w:val="center"/>
            </w:pPr>
            <w:r>
              <w:t>2</w:t>
            </w:r>
          </w:p>
        </w:tc>
        <w:tc>
          <w:tcPr>
            <w:tcW w:w="1080" w:type="dxa"/>
          </w:tcPr>
          <w:p w:rsidR="00A86BD8" w:rsidRDefault="00A86BD8" w:rsidP="00A86BD8">
            <w:pPr>
              <w:jc w:val="center"/>
            </w:pPr>
            <w:r>
              <w:t>3</w:t>
            </w:r>
          </w:p>
        </w:tc>
        <w:tc>
          <w:tcPr>
            <w:tcW w:w="988" w:type="dxa"/>
          </w:tcPr>
          <w:p w:rsidR="00A86BD8" w:rsidRDefault="00A86BD8" w:rsidP="00A86BD8">
            <w:pPr>
              <w:jc w:val="center"/>
            </w:pPr>
            <w:r>
              <w:t>4</w:t>
            </w:r>
          </w:p>
        </w:tc>
        <w:tc>
          <w:tcPr>
            <w:tcW w:w="1169" w:type="dxa"/>
          </w:tcPr>
          <w:p w:rsidR="00A86BD8" w:rsidRDefault="00A86BD8" w:rsidP="00A86BD8">
            <w:pPr>
              <w:jc w:val="center"/>
            </w:pPr>
            <w:r>
              <w:t>5</w:t>
            </w:r>
          </w:p>
        </w:tc>
        <w:tc>
          <w:tcPr>
            <w:tcW w:w="1169" w:type="dxa"/>
          </w:tcPr>
          <w:p w:rsidR="00A86BD8" w:rsidRDefault="00A86BD8" w:rsidP="00A86BD8">
            <w:pPr>
              <w:jc w:val="center"/>
            </w:pPr>
            <w:r>
              <w:t>6</w:t>
            </w:r>
          </w:p>
        </w:tc>
        <w:tc>
          <w:tcPr>
            <w:tcW w:w="1169" w:type="dxa"/>
          </w:tcPr>
          <w:p w:rsidR="00A86BD8" w:rsidRDefault="00A86BD8" w:rsidP="00A86BD8">
            <w:pPr>
              <w:jc w:val="center"/>
            </w:pPr>
            <w:r>
              <w:t>7</w:t>
            </w:r>
          </w:p>
        </w:tc>
      </w:tr>
      <w:tr w:rsidR="00A86BD8" w:rsidTr="00A86BD8">
        <w:tc>
          <w:tcPr>
            <w:tcW w:w="1615" w:type="dxa"/>
          </w:tcPr>
          <w:p w:rsidR="00A86BD8" w:rsidRDefault="00A86BD8" w:rsidP="00A86BD8">
            <w:r>
              <w:t>Further Math</w:t>
            </w:r>
          </w:p>
        </w:tc>
        <w:tc>
          <w:tcPr>
            <w:tcW w:w="1080" w:type="dxa"/>
          </w:tcPr>
          <w:p w:rsidR="00A86BD8" w:rsidRDefault="00A86BD8" w:rsidP="00A86BD8">
            <w:pPr>
              <w:jc w:val="center"/>
            </w:pPr>
            <w:r>
              <w:t>0-11</w:t>
            </w:r>
          </w:p>
        </w:tc>
        <w:tc>
          <w:tcPr>
            <w:tcW w:w="1080" w:type="dxa"/>
          </w:tcPr>
          <w:p w:rsidR="00A86BD8" w:rsidRDefault="00A86BD8" w:rsidP="00A86BD8">
            <w:pPr>
              <w:jc w:val="center"/>
            </w:pPr>
            <w:r>
              <w:t>12-24</w:t>
            </w:r>
          </w:p>
        </w:tc>
        <w:tc>
          <w:tcPr>
            <w:tcW w:w="1080" w:type="dxa"/>
          </w:tcPr>
          <w:p w:rsidR="00A86BD8" w:rsidRDefault="00A86BD8" w:rsidP="00A86BD8">
            <w:pPr>
              <w:jc w:val="center"/>
            </w:pPr>
            <w:r>
              <w:t>25-34</w:t>
            </w:r>
          </w:p>
        </w:tc>
        <w:tc>
          <w:tcPr>
            <w:tcW w:w="988" w:type="dxa"/>
          </w:tcPr>
          <w:p w:rsidR="00A86BD8" w:rsidRDefault="00A86BD8" w:rsidP="00A86BD8">
            <w:pPr>
              <w:jc w:val="center"/>
            </w:pPr>
            <w:r>
              <w:t>35-49</w:t>
            </w:r>
          </w:p>
        </w:tc>
        <w:tc>
          <w:tcPr>
            <w:tcW w:w="1169" w:type="dxa"/>
          </w:tcPr>
          <w:p w:rsidR="00A86BD8" w:rsidRDefault="00A86BD8" w:rsidP="00A86BD8">
            <w:pPr>
              <w:jc w:val="center"/>
            </w:pPr>
            <w:r>
              <w:t>50-59</w:t>
            </w:r>
          </w:p>
        </w:tc>
        <w:tc>
          <w:tcPr>
            <w:tcW w:w="1169" w:type="dxa"/>
          </w:tcPr>
          <w:p w:rsidR="00A86BD8" w:rsidRDefault="00A86BD8" w:rsidP="00A86BD8">
            <w:pPr>
              <w:jc w:val="center"/>
            </w:pPr>
            <w:r>
              <w:t>60-74</w:t>
            </w:r>
          </w:p>
        </w:tc>
        <w:tc>
          <w:tcPr>
            <w:tcW w:w="1169" w:type="dxa"/>
          </w:tcPr>
          <w:p w:rsidR="00A86BD8" w:rsidRDefault="00A86BD8" w:rsidP="00A86BD8">
            <w:pPr>
              <w:jc w:val="center"/>
            </w:pPr>
            <w:r>
              <w:t>75-100</w:t>
            </w:r>
          </w:p>
        </w:tc>
      </w:tr>
      <w:tr w:rsidR="00A86BD8" w:rsidTr="00A86BD8">
        <w:tc>
          <w:tcPr>
            <w:tcW w:w="1615" w:type="dxa"/>
          </w:tcPr>
          <w:p w:rsidR="00A86BD8" w:rsidRDefault="00A86BD8" w:rsidP="00A86BD8">
            <w:r>
              <w:t>Math HL</w:t>
            </w:r>
          </w:p>
        </w:tc>
        <w:tc>
          <w:tcPr>
            <w:tcW w:w="1080" w:type="dxa"/>
          </w:tcPr>
          <w:p w:rsidR="00A86BD8" w:rsidRDefault="00A86BD8" w:rsidP="00A86BD8">
            <w:pPr>
              <w:jc w:val="center"/>
            </w:pPr>
            <w:r>
              <w:t>0-14</w:t>
            </w:r>
          </w:p>
        </w:tc>
        <w:tc>
          <w:tcPr>
            <w:tcW w:w="1080" w:type="dxa"/>
          </w:tcPr>
          <w:p w:rsidR="00A86BD8" w:rsidRDefault="00A86BD8" w:rsidP="00A86BD8">
            <w:pPr>
              <w:jc w:val="center"/>
            </w:pPr>
            <w:r>
              <w:t>15-29</w:t>
            </w:r>
          </w:p>
        </w:tc>
        <w:tc>
          <w:tcPr>
            <w:tcW w:w="1080" w:type="dxa"/>
          </w:tcPr>
          <w:p w:rsidR="00A86BD8" w:rsidRDefault="00A86BD8" w:rsidP="00A86BD8">
            <w:pPr>
              <w:jc w:val="center"/>
            </w:pPr>
            <w:r>
              <w:t>30-39</w:t>
            </w:r>
          </w:p>
        </w:tc>
        <w:tc>
          <w:tcPr>
            <w:tcW w:w="988" w:type="dxa"/>
          </w:tcPr>
          <w:p w:rsidR="00A86BD8" w:rsidRDefault="00A86BD8" w:rsidP="00A86BD8">
            <w:pPr>
              <w:jc w:val="center"/>
            </w:pPr>
            <w:r>
              <w:t>40-54</w:t>
            </w:r>
          </w:p>
        </w:tc>
        <w:tc>
          <w:tcPr>
            <w:tcW w:w="1169" w:type="dxa"/>
          </w:tcPr>
          <w:p w:rsidR="00A86BD8" w:rsidRDefault="00A86BD8" w:rsidP="00A86BD8">
            <w:pPr>
              <w:jc w:val="center"/>
            </w:pPr>
            <w:r>
              <w:t>55-66</w:t>
            </w:r>
          </w:p>
        </w:tc>
        <w:tc>
          <w:tcPr>
            <w:tcW w:w="1169" w:type="dxa"/>
          </w:tcPr>
          <w:p w:rsidR="00A86BD8" w:rsidRDefault="00A86BD8" w:rsidP="00A86BD8">
            <w:pPr>
              <w:jc w:val="center"/>
            </w:pPr>
            <w:r>
              <w:t>67-79</w:t>
            </w:r>
          </w:p>
        </w:tc>
        <w:tc>
          <w:tcPr>
            <w:tcW w:w="1169" w:type="dxa"/>
          </w:tcPr>
          <w:p w:rsidR="00A86BD8" w:rsidRDefault="00A86BD8" w:rsidP="00A86BD8">
            <w:pPr>
              <w:jc w:val="center"/>
            </w:pPr>
            <w:r>
              <w:t>80-100</w:t>
            </w:r>
          </w:p>
        </w:tc>
      </w:tr>
      <w:tr w:rsidR="00A86BD8" w:rsidTr="00A86BD8">
        <w:tc>
          <w:tcPr>
            <w:tcW w:w="1615" w:type="dxa"/>
          </w:tcPr>
          <w:p w:rsidR="00A86BD8" w:rsidRDefault="00A86BD8" w:rsidP="00A86BD8">
            <w:r>
              <w:t>Math SL</w:t>
            </w:r>
          </w:p>
        </w:tc>
        <w:tc>
          <w:tcPr>
            <w:tcW w:w="1080" w:type="dxa"/>
          </w:tcPr>
          <w:p w:rsidR="00A86BD8" w:rsidRDefault="00A86BD8" w:rsidP="00A86BD8">
            <w:pPr>
              <w:jc w:val="center"/>
            </w:pPr>
            <w:r>
              <w:t>0-19</w:t>
            </w:r>
          </w:p>
        </w:tc>
        <w:tc>
          <w:tcPr>
            <w:tcW w:w="1080" w:type="dxa"/>
          </w:tcPr>
          <w:p w:rsidR="00A86BD8" w:rsidRDefault="00A86BD8" w:rsidP="00A86BD8">
            <w:pPr>
              <w:jc w:val="center"/>
            </w:pPr>
            <w:r>
              <w:t>20-39</w:t>
            </w:r>
          </w:p>
        </w:tc>
        <w:tc>
          <w:tcPr>
            <w:tcW w:w="1080" w:type="dxa"/>
          </w:tcPr>
          <w:p w:rsidR="00A86BD8" w:rsidRDefault="00A86BD8" w:rsidP="00A86BD8">
            <w:pPr>
              <w:jc w:val="center"/>
            </w:pPr>
            <w:r>
              <w:t>40-49</w:t>
            </w:r>
          </w:p>
        </w:tc>
        <w:tc>
          <w:tcPr>
            <w:tcW w:w="988" w:type="dxa"/>
          </w:tcPr>
          <w:p w:rsidR="00A86BD8" w:rsidRDefault="00A86BD8" w:rsidP="00A86BD8">
            <w:pPr>
              <w:jc w:val="center"/>
            </w:pPr>
            <w:r>
              <w:t>50-59</w:t>
            </w:r>
          </w:p>
        </w:tc>
        <w:tc>
          <w:tcPr>
            <w:tcW w:w="1169" w:type="dxa"/>
          </w:tcPr>
          <w:p w:rsidR="00A86BD8" w:rsidRDefault="00A86BD8" w:rsidP="00A86BD8">
            <w:pPr>
              <w:jc w:val="center"/>
            </w:pPr>
            <w:r>
              <w:t>60-69</w:t>
            </w:r>
          </w:p>
        </w:tc>
        <w:tc>
          <w:tcPr>
            <w:tcW w:w="1169" w:type="dxa"/>
          </w:tcPr>
          <w:p w:rsidR="00A86BD8" w:rsidRDefault="00A86BD8" w:rsidP="00A86BD8">
            <w:pPr>
              <w:jc w:val="center"/>
            </w:pPr>
            <w:r>
              <w:t>70-84</w:t>
            </w:r>
          </w:p>
        </w:tc>
        <w:tc>
          <w:tcPr>
            <w:tcW w:w="1169" w:type="dxa"/>
          </w:tcPr>
          <w:p w:rsidR="00A86BD8" w:rsidRDefault="00A86BD8" w:rsidP="00A86BD8">
            <w:pPr>
              <w:jc w:val="center"/>
            </w:pPr>
            <w:r>
              <w:t>85-100</w:t>
            </w:r>
          </w:p>
        </w:tc>
      </w:tr>
      <w:tr w:rsidR="00A86BD8" w:rsidTr="00A86BD8">
        <w:tc>
          <w:tcPr>
            <w:tcW w:w="1615" w:type="dxa"/>
          </w:tcPr>
          <w:p w:rsidR="00A86BD8" w:rsidRDefault="00A86BD8" w:rsidP="00A86BD8">
            <w:r>
              <w:t>Math Studies</w:t>
            </w:r>
          </w:p>
        </w:tc>
        <w:tc>
          <w:tcPr>
            <w:tcW w:w="1080" w:type="dxa"/>
          </w:tcPr>
          <w:p w:rsidR="00A86BD8" w:rsidRDefault="00A86BD8" w:rsidP="00A86BD8">
            <w:pPr>
              <w:jc w:val="center"/>
            </w:pPr>
            <w:r>
              <w:t>0-19</w:t>
            </w:r>
          </w:p>
        </w:tc>
        <w:tc>
          <w:tcPr>
            <w:tcW w:w="1080" w:type="dxa"/>
          </w:tcPr>
          <w:p w:rsidR="00A86BD8" w:rsidRDefault="00A86BD8" w:rsidP="00A86BD8">
            <w:pPr>
              <w:jc w:val="center"/>
            </w:pPr>
            <w:r>
              <w:t>20-34</w:t>
            </w:r>
          </w:p>
        </w:tc>
        <w:tc>
          <w:tcPr>
            <w:tcW w:w="1080" w:type="dxa"/>
          </w:tcPr>
          <w:p w:rsidR="00A86BD8" w:rsidRDefault="00A86BD8" w:rsidP="00A86BD8">
            <w:pPr>
              <w:jc w:val="center"/>
            </w:pPr>
            <w:r>
              <w:t>35-44</w:t>
            </w:r>
          </w:p>
        </w:tc>
        <w:tc>
          <w:tcPr>
            <w:tcW w:w="988" w:type="dxa"/>
          </w:tcPr>
          <w:p w:rsidR="00A86BD8" w:rsidRDefault="00A86BD8" w:rsidP="00A86BD8">
            <w:pPr>
              <w:jc w:val="center"/>
            </w:pPr>
            <w:r>
              <w:t>45-59</w:t>
            </w:r>
          </w:p>
        </w:tc>
        <w:tc>
          <w:tcPr>
            <w:tcW w:w="1169" w:type="dxa"/>
          </w:tcPr>
          <w:p w:rsidR="00A86BD8" w:rsidRDefault="00A86BD8" w:rsidP="00A86BD8">
            <w:pPr>
              <w:jc w:val="center"/>
            </w:pPr>
            <w:r>
              <w:t>60-69</w:t>
            </w:r>
          </w:p>
        </w:tc>
        <w:tc>
          <w:tcPr>
            <w:tcW w:w="1169" w:type="dxa"/>
          </w:tcPr>
          <w:p w:rsidR="00A86BD8" w:rsidRDefault="00A86BD8" w:rsidP="00A86BD8">
            <w:pPr>
              <w:jc w:val="center"/>
            </w:pPr>
            <w:r>
              <w:t>70-84</w:t>
            </w:r>
          </w:p>
        </w:tc>
        <w:tc>
          <w:tcPr>
            <w:tcW w:w="1169" w:type="dxa"/>
          </w:tcPr>
          <w:p w:rsidR="00A86BD8" w:rsidRDefault="00A86BD8" w:rsidP="00A86BD8">
            <w:pPr>
              <w:jc w:val="center"/>
            </w:pPr>
            <w:r>
              <w:t>85-100</w:t>
            </w:r>
          </w:p>
        </w:tc>
      </w:tr>
    </w:tbl>
    <w:p w:rsidR="00A86BD8" w:rsidRPr="00A86BD8" w:rsidRDefault="00A86BD8" w:rsidP="00A86BD8"/>
    <w:p w:rsidR="00A86BD8" w:rsidRPr="00A86BD8" w:rsidRDefault="00A86BD8" w:rsidP="00A86BD8">
      <w:pPr>
        <w:ind w:left="360"/>
      </w:pPr>
      <w:r w:rsidRPr="00A86BD8">
        <w:t>*</w:t>
      </w:r>
      <w:r>
        <w:t>Subject to change</w:t>
      </w:r>
    </w:p>
    <w:p w:rsidR="00864B87" w:rsidRDefault="00864B87" w:rsidP="00F13AA6">
      <w:pPr>
        <w:jc w:val="center"/>
        <w:rPr>
          <w:b/>
          <w:sz w:val="28"/>
          <w:szCs w:val="28"/>
        </w:rPr>
      </w:pPr>
    </w:p>
    <w:p w:rsidR="0062675F" w:rsidRDefault="0062675F" w:rsidP="00F13AA6">
      <w:pPr>
        <w:jc w:val="center"/>
        <w:rPr>
          <w:b/>
          <w:sz w:val="28"/>
          <w:szCs w:val="28"/>
        </w:rPr>
      </w:pPr>
    </w:p>
    <w:p w:rsidR="00BB2206" w:rsidRPr="00633645" w:rsidRDefault="000F2CD7" w:rsidP="00F13AA6">
      <w:pPr>
        <w:jc w:val="center"/>
        <w:rPr>
          <w:b/>
          <w:sz w:val="28"/>
          <w:szCs w:val="28"/>
        </w:rPr>
      </w:pPr>
      <w:r>
        <w:rPr>
          <w:b/>
          <w:sz w:val="28"/>
          <w:szCs w:val="28"/>
        </w:rPr>
        <w:lastRenderedPageBreak/>
        <w:t>PREDICTED GRADE</w:t>
      </w:r>
      <w:r w:rsidR="00C401CA">
        <w:rPr>
          <w:b/>
          <w:sz w:val="28"/>
          <w:szCs w:val="28"/>
        </w:rPr>
        <w:t xml:space="preserve"> FOR DP2</w:t>
      </w:r>
    </w:p>
    <w:p w:rsidR="006002A0" w:rsidRPr="00C20A26" w:rsidRDefault="000E786D" w:rsidP="006002A0">
      <w:pPr>
        <w:pStyle w:val="ListParagraph"/>
        <w:numPr>
          <w:ilvl w:val="0"/>
          <w:numId w:val="5"/>
        </w:numPr>
      </w:pPr>
      <w:r>
        <w:t xml:space="preserve">Predicted grades </w:t>
      </w:r>
      <w:r w:rsidR="00F35D41">
        <w:t>consider the y</w:t>
      </w:r>
      <w:r>
        <w:t xml:space="preserve">ear-end and other summative grades but are </w:t>
      </w:r>
      <w:r w:rsidRPr="00633645">
        <w:rPr>
          <w:b/>
        </w:rPr>
        <w:t xml:space="preserve">always </w:t>
      </w:r>
      <w:r w:rsidR="00F35D41" w:rsidRPr="00633645">
        <w:rPr>
          <w:b/>
        </w:rPr>
        <w:t>cross-referenced</w:t>
      </w:r>
      <w:r w:rsidRPr="00633645">
        <w:rPr>
          <w:b/>
        </w:rPr>
        <w:t xml:space="preserve"> with the </w:t>
      </w:r>
      <w:r w:rsidR="00F35D41" w:rsidRPr="00633645">
        <w:rPr>
          <w:b/>
        </w:rPr>
        <w:t xml:space="preserve">IB grade </w:t>
      </w:r>
      <w:r w:rsidRPr="00633645">
        <w:rPr>
          <w:b/>
        </w:rPr>
        <w:t>descriptors</w:t>
      </w:r>
      <w:r w:rsidRPr="00C20A26">
        <w:t xml:space="preserve">. It is </w:t>
      </w:r>
      <w:r w:rsidR="00E66D55" w:rsidRPr="00C20A26">
        <w:t xml:space="preserve">up </w:t>
      </w:r>
      <w:r w:rsidRPr="00C20A26">
        <w:t xml:space="preserve">to the professional judgment of the teacher to make adjustments </w:t>
      </w:r>
      <w:r w:rsidR="00633645" w:rsidRPr="00C20A26">
        <w:t xml:space="preserve">based on the grade descriptors </w:t>
      </w:r>
      <w:r w:rsidRPr="00C20A26">
        <w:t xml:space="preserve">to the </w:t>
      </w:r>
      <w:r w:rsidR="00633645" w:rsidRPr="00C20A26">
        <w:t xml:space="preserve">year-end </w:t>
      </w:r>
      <w:r w:rsidR="00E66D55" w:rsidRPr="00C20A26">
        <w:t xml:space="preserve">and summative grades </w:t>
      </w:r>
      <w:r w:rsidR="00AF25E2">
        <w:t>in order</w:t>
      </w:r>
      <w:r w:rsidR="00AA2E07" w:rsidRPr="00C20A26">
        <w:t xml:space="preserve"> </w:t>
      </w:r>
      <w:r w:rsidR="00E66D55" w:rsidRPr="00C20A26">
        <w:t>to come out with a more appropriate predicted grade for the students.</w:t>
      </w:r>
    </w:p>
    <w:p w:rsidR="00C401CA" w:rsidRDefault="00C401CA" w:rsidP="00F35D41">
      <w:pPr>
        <w:pStyle w:val="ListParagraph"/>
      </w:pPr>
    </w:p>
    <w:p w:rsidR="007702D5" w:rsidRDefault="00F35D41" w:rsidP="007702D5">
      <w:pPr>
        <w:pStyle w:val="ListParagraph"/>
        <w:numPr>
          <w:ilvl w:val="0"/>
          <w:numId w:val="5"/>
        </w:numPr>
      </w:pPr>
      <w:r>
        <w:t xml:space="preserve">The predicted  grades are </w:t>
      </w:r>
      <w:r w:rsidR="00633645">
        <w:t>based</w:t>
      </w:r>
      <w:r>
        <w:t xml:space="preserve"> on the following:</w:t>
      </w:r>
    </w:p>
    <w:p w:rsidR="00F35D41" w:rsidRDefault="00F35D41" w:rsidP="00F35D41">
      <w:pPr>
        <w:pStyle w:val="ListParagraph"/>
        <w:numPr>
          <w:ilvl w:val="0"/>
          <w:numId w:val="6"/>
        </w:numPr>
      </w:pPr>
      <w:r>
        <w:t>September: based on the year-end grade</w:t>
      </w:r>
    </w:p>
    <w:p w:rsidR="00AF1A48" w:rsidRDefault="00F35D41" w:rsidP="00F35D41">
      <w:pPr>
        <w:pStyle w:val="ListParagraph"/>
        <w:numPr>
          <w:ilvl w:val="0"/>
          <w:numId w:val="6"/>
        </w:numPr>
      </w:pPr>
      <w:r>
        <w:t xml:space="preserve">December: </w:t>
      </w:r>
    </w:p>
    <w:p w:rsidR="00607DDA" w:rsidRDefault="00607DDA" w:rsidP="00607DDA">
      <w:pPr>
        <w:pStyle w:val="ListParagraph"/>
        <w:ind w:left="1080"/>
      </w:pPr>
    </w:p>
    <w:tbl>
      <w:tblPr>
        <w:tblStyle w:val="TableGrid"/>
        <w:tblW w:w="0" w:type="auto"/>
        <w:tblInd w:w="1080" w:type="dxa"/>
        <w:tblLook w:val="04A0" w:firstRow="1" w:lastRow="0" w:firstColumn="1" w:lastColumn="0" w:noHBand="0" w:noVBand="1"/>
      </w:tblPr>
      <w:tblGrid>
        <w:gridCol w:w="1255"/>
        <w:gridCol w:w="7015"/>
      </w:tblGrid>
      <w:tr w:rsidR="00AF1A48" w:rsidTr="00AF1A48">
        <w:tc>
          <w:tcPr>
            <w:tcW w:w="1255" w:type="dxa"/>
          </w:tcPr>
          <w:p w:rsidR="00AF1A48" w:rsidRDefault="00AF1A48" w:rsidP="00AF1A48">
            <w:pPr>
              <w:pStyle w:val="ListParagraph"/>
              <w:ind w:left="0"/>
            </w:pPr>
            <w:r>
              <w:t>80%</w:t>
            </w:r>
            <w:r w:rsidR="00971A4A">
              <w:t>*</w:t>
            </w:r>
          </w:p>
        </w:tc>
        <w:tc>
          <w:tcPr>
            <w:tcW w:w="7015" w:type="dxa"/>
          </w:tcPr>
          <w:p w:rsidR="00AF1A48" w:rsidRDefault="00AF1A48" w:rsidP="00AF25E2">
            <w:pPr>
              <w:pStyle w:val="ListParagraph"/>
              <w:ind w:left="0"/>
            </w:pPr>
            <w:r>
              <w:t>% of Year-end grade (based on the percentage of the curricula covered in the first year</w:t>
            </w:r>
            <w:r w:rsidR="00AF25E2">
              <w:t>, P</w:t>
            </w:r>
            <w:r>
              <w:t xml:space="preserve">) + % of recent </w:t>
            </w:r>
            <w:r w:rsidR="00AF25E2">
              <w:t>tests (the rest of the percentage, 1-P)</w:t>
            </w:r>
          </w:p>
        </w:tc>
      </w:tr>
      <w:tr w:rsidR="00AF1A48" w:rsidTr="00AF1A48">
        <w:tc>
          <w:tcPr>
            <w:tcW w:w="1255" w:type="dxa"/>
          </w:tcPr>
          <w:p w:rsidR="00AF1A48" w:rsidRDefault="00AF1A48" w:rsidP="00AF1A48">
            <w:pPr>
              <w:pStyle w:val="ListParagraph"/>
              <w:ind w:left="0"/>
            </w:pPr>
            <w:r>
              <w:t>20%</w:t>
            </w:r>
          </w:p>
        </w:tc>
        <w:tc>
          <w:tcPr>
            <w:tcW w:w="7015" w:type="dxa"/>
          </w:tcPr>
          <w:p w:rsidR="00AF1A48" w:rsidRDefault="00AF1A48" w:rsidP="00AF1A48">
            <w:pPr>
              <w:pStyle w:val="ListParagraph"/>
              <w:ind w:left="0"/>
            </w:pPr>
            <w:r>
              <w:t>Draft IA (SL/HL) or Final IA (Studies)</w:t>
            </w:r>
          </w:p>
        </w:tc>
      </w:tr>
    </w:tbl>
    <w:p w:rsidR="00AF1A48" w:rsidRDefault="00AF1A48" w:rsidP="00AF1A48">
      <w:pPr>
        <w:pStyle w:val="ListParagraph"/>
        <w:ind w:left="1080"/>
      </w:pPr>
    </w:p>
    <w:p w:rsidR="00607DDA" w:rsidRDefault="00AF25E2" w:rsidP="00AF1A48">
      <w:pPr>
        <w:pStyle w:val="ListParagraph"/>
        <w:ind w:left="1080"/>
      </w:pPr>
      <w:r>
        <w:t>Example:</w:t>
      </w:r>
      <w:r w:rsidR="00607DDA">
        <w:t xml:space="preserve"> 70% of the topics have </w:t>
      </w:r>
      <w:r>
        <w:t>been covered in DP1 means the predicted grade</w:t>
      </w:r>
      <w:r w:rsidR="00607DDA">
        <w:t xml:space="preserve"> would be 80% of the sum of the 70% of the year-end grade and the 30% of the recent </w:t>
      </w:r>
      <w:r>
        <w:t>tests</w:t>
      </w:r>
      <w:r w:rsidR="00607DDA">
        <w:t xml:space="preserve"> plus the </w:t>
      </w:r>
      <w:r w:rsidR="0062675F">
        <w:t xml:space="preserve">20% of the draft </w:t>
      </w:r>
      <w:r w:rsidR="00607DDA">
        <w:t xml:space="preserve">for SL, HL or </w:t>
      </w:r>
      <w:r w:rsidR="0062675F">
        <w:t xml:space="preserve">the final IA for </w:t>
      </w:r>
      <w:r w:rsidR="00607DDA">
        <w:t>Studies</w:t>
      </w:r>
      <w:r>
        <w:t>.</w:t>
      </w:r>
    </w:p>
    <w:p w:rsidR="007D066E" w:rsidRDefault="007D066E" w:rsidP="007D066E">
      <w:pPr>
        <w:pStyle w:val="ListParagraph"/>
        <w:ind w:left="1080"/>
      </w:pPr>
    </w:p>
    <w:p w:rsidR="00607DDA" w:rsidRDefault="00971A4A" w:rsidP="007D066E">
      <w:pPr>
        <w:pStyle w:val="ListParagraph"/>
        <w:ind w:left="1080" w:firstLine="360"/>
        <w:rPr>
          <w:highlight w:val="yellow"/>
        </w:rPr>
      </w:pPr>
      <w:r>
        <w:rPr>
          <w:highlight w:val="yellow"/>
        </w:rPr>
        <w:t>*</w:t>
      </w:r>
      <w:r w:rsidR="00754CA0" w:rsidRPr="007D066E">
        <w:rPr>
          <w:highlight w:val="yellow"/>
        </w:rPr>
        <w:t xml:space="preserve">As there is no IA for Further Math, </w:t>
      </w:r>
      <w:r w:rsidR="00607DDA">
        <w:rPr>
          <w:highlight w:val="yellow"/>
        </w:rPr>
        <w:t>their predicted grade would be entirely based on the year-end grade and r</w:t>
      </w:r>
      <w:r w:rsidR="00AF25E2">
        <w:rPr>
          <w:highlight w:val="yellow"/>
        </w:rPr>
        <w:t>ecent tests</w:t>
      </w:r>
      <w:r w:rsidR="00607DDA">
        <w:rPr>
          <w:highlight w:val="yellow"/>
        </w:rPr>
        <w:t>.</w:t>
      </w:r>
    </w:p>
    <w:p w:rsidR="007D066E" w:rsidRDefault="007D066E" w:rsidP="007D066E">
      <w:pPr>
        <w:pStyle w:val="ListParagraph"/>
        <w:ind w:left="1080" w:firstLine="360"/>
      </w:pPr>
    </w:p>
    <w:p w:rsidR="00F35D41" w:rsidRDefault="00F35D41" w:rsidP="00F35D41">
      <w:pPr>
        <w:pStyle w:val="ListParagraph"/>
        <w:numPr>
          <w:ilvl w:val="0"/>
          <w:numId w:val="6"/>
        </w:numPr>
      </w:pPr>
      <w:r>
        <w:t xml:space="preserve">April: </w:t>
      </w:r>
      <w:r w:rsidRPr="00633645">
        <w:rPr>
          <w:b/>
        </w:rPr>
        <w:t xml:space="preserve">based on recent assessments, i.e. </w:t>
      </w:r>
      <w:r w:rsidR="00971A4A">
        <w:rPr>
          <w:b/>
        </w:rPr>
        <w:t xml:space="preserve">tests, </w:t>
      </w:r>
      <w:r w:rsidRPr="00633645">
        <w:rPr>
          <w:b/>
        </w:rPr>
        <w:t>mock tests and final IA</w:t>
      </w:r>
      <w:r w:rsidR="00633645" w:rsidRPr="00633645">
        <w:rPr>
          <w:b/>
        </w:rPr>
        <w:t xml:space="preserve"> </w:t>
      </w:r>
      <w:r w:rsidR="00F4440A">
        <w:t>(40</w:t>
      </w:r>
      <w:r w:rsidR="00C401CA">
        <w:t xml:space="preserve">% DP2 </w:t>
      </w:r>
      <w:r w:rsidR="00754CA0">
        <w:t>tests</w:t>
      </w:r>
      <w:r w:rsidR="00971A4A">
        <w:t>, 40% mock test</w:t>
      </w:r>
      <w:r w:rsidR="00F4440A">
        <w:t xml:space="preserve"> </w:t>
      </w:r>
      <w:r w:rsidR="00633645">
        <w:t xml:space="preserve">and 20% </w:t>
      </w:r>
      <w:r w:rsidR="00971A4A">
        <w:t xml:space="preserve">final </w:t>
      </w:r>
      <w:r w:rsidR="00633645">
        <w:t>IA)</w:t>
      </w:r>
    </w:p>
    <w:p w:rsidR="00130309" w:rsidRPr="00130309" w:rsidRDefault="000F2CD7" w:rsidP="00F13AA6">
      <w:pPr>
        <w:jc w:val="center"/>
        <w:rPr>
          <w:b/>
          <w:sz w:val="28"/>
          <w:szCs w:val="28"/>
        </w:rPr>
      </w:pPr>
      <w:r>
        <w:rPr>
          <w:b/>
          <w:sz w:val="28"/>
          <w:szCs w:val="28"/>
        </w:rPr>
        <w:t>TEXTBOOK</w:t>
      </w:r>
      <w:r w:rsidR="00894193">
        <w:rPr>
          <w:b/>
          <w:sz w:val="28"/>
          <w:szCs w:val="28"/>
        </w:rPr>
        <w:t>S</w:t>
      </w:r>
    </w:p>
    <w:p w:rsidR="00725516" w:rsidRDefault="00130309" w:rsidP="00860CD6">
      <w:pPr>
        <w:pStyle w:val="ListParagraph"/>
        <w:numPr>
          <w:ilvl w:val="0"/>
          <w:numId w:val="8"/>
        </w:numPr>
      </w:pPr>
      <w:r>
        <w:t xml:space="preserve">Students are given the textbooks needed. </w:t>
      </w:r>
      <w:r w:rsidR="00313CE8">
        <w:t>Students</w:t>
      </w:r>
      <w:r>
        <w:t xml:space="preserve"> will have to sign the </w:t>
      </w:r>
      <w:r w:rsidR="00B90284">
        <w:t xml:space="preserve">borrowing </w:t>
      </w:r>
      <w:r>
        <w:t xml:space="preserve">form to acknowledge receipt. </w:t>
      </w:r>
      <w:r w:rsidR="00860CD6" w:rsidRPr="00860CD6">
        <w:rPr>
          <w:highlight w:val="yellow"/>
        </w:rPr>
        <w:t>The last 6 digits of the textbook given to me are _________________.</w:t>
      </w:r>
      <w:r w:rsidR="00860CD6">
        <w:t xml:space="preserve"> </w:t>
      </w:r>
    </w:p>
    <w:p w:rsidR="0062675F" w:rsidRDefault="0062675F" w:rsidP="0062675F">
      <w:pPr>
        <w:pStyle w:val="ListParagraph"/>
      </w:pPr>
    </w:p>
    <w:p w:rsidR="00725516" w:rsidRDefault="00725516" w:rsidP="00313CE8">
      <w:pPr>
        <w:pStyle w:val="ListParagraph"/>
        <w:numPr>
          <w:ilvl w:val="0"/>
          <w:numId w:val="8"/>
        </w:numPr>
      </w:pPr>
      <w:r>
        <w:t>It is very likely that textbooks can be swapped with other students. Students are encouraged to write in pencil their names at the back of the front cover and to take note of the last 6 digits of the barcode.</w:t>
      </w:r>
      <w:r w:rsidR="00313CE8">
        <w:t xml:space="preserve"> Teachers will inform </w:t>
      </w:r>
      <w:r w:rsidR="007B0D9B">
        <w:t xml:space="preserve">the DP2 </w:t>
      </w:r>
      <w:r w:rsidR="00313CE8">
        <w:t xml:space="preserve">students of the borrowing list with the barcode a few weeks before the IB test so that they can check </w:t>
      </w:r>
      <w:r w:rsidR="007B0D9B">
        <w:t>whether</w:t>
      </w:r>
      <w:r w:rsidR="00313CE8">
        <w:t xml:space="preserve"> they still have the same textbook issued to them by their teachers.</w:t>
      </w:r>
    </w:p>
    <w:p w:rsidR="0062675F" w:rsidRDefault="0062675F" w:rsidP="0062675F">
      <w:pPr>
        <w:pStyle w:val="ListParagraph"/>
      </w:pPr>
    </w:p>
    <w:p w:rsidR="00130309" w:rsidRDefault="00130309" w:rsidP="00130309">
      <w:pPr>
        <w:pStyle w:val="ListParagraph"/>
        <w:numPr>
          <w:ilvl w:val="0"/>
          <w:numId w:val="8"/>
        </w:numPr>
      </w:pPr>
      <w:r>
        <w:t xml:space="preserve">Students are responsible </w:t>
      </w:r>
      <w:r w:rsidR="00825840">
        <w:t xml:space="preserve">in </w:t>
      </w:r>
      <w:r w:rsidR="00725516">
        <w:t xml:space="preserve">taking good care of the books, not damaging them nor losing them. </w:t>
      </w:r>
    </w:p>
    <w:p w:rsidR="0062675F" w:rsidRDefault="0062675F" w:rsidP="0062675F">
      <w:pPr>
        <w:pStyle w:val="ListParagraph"/>
      </w:pPr>
    </w:p>
    <w:p w:rsidR="00313CE8" w:rsidRDefault="00725516" w:rsidP="00E35901">
      <w:pPr>
        <w:pStyle w:val="ListParagraph"/>
        <w:numPr>
          <w:ilvl w:val="0"/>
          <w:numId w:val="8"/>
        </w:numPr>
      </w:pPr>
      <w:r>
        <w:t>Textbooks are returned after the May IB tests in the 2</w:t>
      </w:r>
      <w:r w:rsidRPr="00313CE8">
        <w:rPr>
          <w:vertAlign w:val="superscript"/>
        </w:rPr>
        <w:t>nd</w:t>
      </w:r>
      <w:r>
        <w:t xml:space="preserve"> year. </w:t>
      </w:r>
      <w:r w:rsidRPr="007B0D9B">
        <w:rPr>
          <w:b/>
        </w:rPr>
        <w:t>The same textbook issued by the tea</w:t>
      </w:r>
      <w:r w:rsidR="007B0D9B">
        <w:rPr>
          <w:b/>
        </w:rPr>
        <w:t>cher should be returned otherwise it would not be considered as returned in</w:t>
      </w:r>
      <w:r w:rsidR="00067B5B">
        <w:rPr>
          <w:b/>
        </w:rPr>
        <w:t xml:space="preserve"> the student’s</w:t>
      </w:r>
      <w:r w:rsidR="007B0D9B">
        <w:rPr>
          <w:b/>
        </w:rPr>
        <w:t xml:space="preserve"> borrowing record. In this case, it would be considered lost and the students have to pay for it.</w:t>
      </w:r>
    </w:p>
    <w:p w:rsidR="0062675F" w:rsidRDefault="0062675F" w:rsidP="0062675F">
      <w:pPr>
        <w:pStyle w:val="ListParagraph"/>
      </w:pPr>
    </w:p>
    <w:p w:rsidR="0099265F" w:rsidRDefault="0099265F" w:rsidP="00E35901">
      <w:pPr>
        <w:pStyle w:val="ListParagraph"/>
        <w:numPr>
          <w:ilvl w:val="0"/>
          <w:numId w:val="8"/>
        </w:numPr>
      </w:pPr>
      <w:r>
        <w:t>Damaging, losing or failing to return the textbook incurs charges to the school deposit that students have. The charges are based on the current cost</w:t>
      </w:r>
      <w:r w:rsidR="007B0D9B">
        <w:t>s</w:t>
      </w:r>
      <w:r>
        <w:t xml:space="preserve"> of the textbooks that roughly </w:t>
      </w:r>
      <w:r w:rsidR="007B0D9B">
        <w:t>range</w:t>
      </w:r>
      <w:r w:rsidR="00313CE8">
        <w:t xml:space="preserve"> from 20</w:t>
      </w:r>
      <w:r>
        <w:t xml:space="preserve">0 </w:t>
      </w:r>
      <w:r w:rsidR="00313CE8">
        <w:t>to 45</w:t>
      </w:r>
      <w:r>
        <w:t>0 RMB.</w:t>
      </w:r>
    </w:p>
    <w:p w:rsidR="00864B87" w:rsidRDefault="00864B87" w:rsidP="00F13AA6">
      <w:pPr>
        <w:jc w:val="center"/>
        <w:rPr>
          <w:b/>
          <w:sz w:val="28"/>
          <w:szCs w:val="28"/>
        </w:rPr>
      </w:pPr>
    </w:p>
    <w:p w:rsidR="00864B87" w:rsidRDefault="00864B87" w:rsidP="00F13AA6">
      <w:pPr>
        <w:jc w:val="center"/>
        <w:rPr>
          <w:b/>
          <w:sz w:val="28"/>
          <w:szCs w:val="28"/>
        </w:rPr>
      </w:pPr>
    </w:p>
    <w:p w:rsidR="00130309" w:rsidRPr="00130309" w:rsidRDefault="00130309" w:rsidP="00F13AA6">
      <w:pPr>
        <w:jc w:val="center"/>
        <w:rPr>
          <w:b/>
          <w:sz w:val="28"/>
          <w:szCs w:val="28"/>
        </w:rPr>
      </w:pPr>
      <w:r w:rsidRPr="00130309">
        <w:rPr>
          <w:b/>
          <w:sz w:val="28"/>
          <w:szCs w:val="28"/>
        </w:rPr>
        <w:t>GDC</w:t>
      </w:r>
      <w:r w:rsidR="00F13AA6">
        <w:rPr>
          <w:b/>
          <w:sz w:val="28"/>
          <w:szCs w:val="28"/>
        </w:rPr>
        <w:t xml:space="preserve"> BORROWING</w:t>
      </w:r>
    </w:p>
    <w:p w:rsidR="00B90284" w:rsidRDefault="00B90284" w:rsidP="00CF1E44">
      <w:pPr>
        <w:pStyle w:val="ListParagraph"/>
        <w:numPr>
          <w:ilvl w:val="0"/>
          <w:numId w:val="9"/>
        </w:numPr>
      </w:pPr>
      <w:r>
        <w:t>Teachers will teach the necessary calculator skills using the TI-84. Students with different GDC will have to learn by themselves on how to use the</w:t>
      </w:r>
      <w:r w:rsidR="00370CCA">
        <w:t>ir</w:t>
      </w:r>
      <w:r>
        <w:t xml:space="preserve"> GDC in solving Math problems.</w:t>
      </w:r>
    </w:p>
    <w:p w:rsidR="0062675F" w:rsidRPr="0062675F" w:rsidRDefault="0062675F" w:rsidP="0062675F">
      <w:pPr>
        <w:pStyle w:val="ListParagraph"/>
        <w:rPr>
          <w:highlight w:val="yellow"/>
        </w:rPr>
      </w:pPr>
    </w:p>
    <w:p w:rsidR="00B90284" w:rsidRPr="00860CD6" w:rsidRDefault="00130309" w:rsidP="00B90284">
      <w:pPr>
        <w:pStyle w:val="ListParagraph"/>
        <w:numPr>
          <w:ilvl w:val="0"/>
          <w:numId w:val="9"/>
        </w:numPr>
        <w:rPr>
          <w:highlight w:val="yellow"/>
        </w:rPr>
      </w:pPr>
      <w:r>
        <w:t>Students can borrow GDC based on availability.</w:t>
      </w:r>
      <w:r w:rsidR="00370CCA">
        <w:t xml:space="preserve"> </w:t>
      </w:r>
      <w:r w:rsidR="00860CD6" w:rsidRPr="00860CD6">
        <w:rPr>
          <w:highlight w:val="yellow"/>
        </w:rPr>
        <w:t>The serial number of the GDC that I am borrowing is _____________________________. (write NA if not borrowing)</w:t>
      </w:r>
    </w:p>
    <w:p w:rsidR="0062675F" w:rsidRDefault="0062675F" w:rsidP="0062675F">
      <w:pPr>
        <w:pStyle w:val="ListParagraph"/>
      </w:pPr>
    </w:p>
    <w:p w:rsidR="00130309" w:rsidRDefault="00B90284" w:rsidP="00B90284">
      <w:pPr>
        <w:pStyle w:val="ListParagraph"/>
        <w:numPr>
          <w:ilvl w:val="0"/>
          <w:numId w:val="9"/>
        </w:numPr>
      </w:pPr>
      <w:r>
        <w:t xml:space="preserve">Similar to the textbook borrowing, students will sign the borrowing form that has the GDC serial number to acknowledge receipt and be responsible in </w:t>
      </w:r>
      <w:r w:rsidRPr="00067B5B">
        <w:rPr>
          <w:b/>
        </w:rPr>
        <w:t>returning the same GDC</w:t>
      </w:r>
      <w:r>
        <w:t xml:space="preserve"> in the 2</w:t>
      </w:r>
      <w:r w:rsidRPr="00B90284">
        <w:rPr>
          <w:vertAlign w:val="superscript"/>
        </w:rPr>
        <w:t>nd</w:t>
      </w:r>
      <w:r>
        <w:t xml:space="preserve"> year after the May IB tests.</w:t>
      </w:r>
    </w:p>
    <w:p w:rsidR="0062675F" w:rsidRDefault="0062675F" w:rsidP="0062675F">
      <w:pPr>
        <w:pStyle w:val="ListParagraph"/>
      </w:pPr>
    </w:p>
    <w:p w:rsidR="00370CCA" w:rsidRDefault="00370CCA" w:rsidP="00B90284">
      <w:pPr>
        <w:pStyle w:val="ListParagraph"/>
        <w:numPr>
          <w:ilvl w:val="0"/>
          <w:numId w:val="9"/>
        </w:numPr>
      </w:pPr>
      <w:r>
        <w:t>If students transfer Math classes, they do not have to return it to the teacher who gave it to them. They will keep it until the time they have to return it.</w:t>
      </w:r>
    </w:p>
    <w:p w:rsidR="0062675F" w:rsidRDefault="0062675F" w:rsidP="0062675F">
      <w:pPr>
        <w:pStyle w:val="ListParagraph"/>
      </w:pPr>
    </w:p>
    <w:p w:rsidR="00B90284" w:rsidRDefault="00B90284" w:rsidP="00B90284">
      <w:pPr>
        <w:pStyle w:val="ListParagraph"/>
        <w:numPr>
          <w:ilvl w:val="0"/>
          <w:numId w:val="9"/>
        </w:numPr>
      </w:pPr>
      <w:r>
        <w:t>Teachers will inform students of the borrowing list with the serial number a few weeks before the IB test so that they can check that they still have the same GDC issued to them by their teachers.</w:t>
      </w:r>
    </w:p>
    <w:p w:rsidR="0062675F" w:rsidRDefault="0062675F" w:rsidP="0062675F">
      <w:pPr>
        <w:pStyle w:val="ListParagraph"/>
      </w:pPr>
    </w:p>
    <w:p w:rsidR="00B90284" w:rsidRDefault="00FA0068" w:rsidP="00B90284">
      <w:pPr>
        <w:pStyle w:val="ListParagraph"/>
        <w:numPr>
          <w:ilvl w:val="0"/>
          <w:numId w:val="9"/>
        </w:numPr>
      </w:pPr>
      <w:r>
        <w:t>Students will have to pay around 900 RMB if they lose, damage or fail to return the GDC.</w:t>
      </w:r>
    </w:p>
    <w:p w:rsidR="00147809" w:rsidRDefault="00147809" w:rsidP="00147809"/>
    <w:p w:rsidR="0062675F" w:rsidRDefault="0062675F" w:rsidP="00147809"/>
    <w:p w:rsidR="00147809" w:rsidRPr="0062675F" w:rsidRDefault="0062675F" w:rsidP="0062675F">
      <w:pPr>
        <w:jc w:val="center"/>
        <w:rPr>
          <w:b/>
          <w:sz w:val="28"/>
          <w:szCs w:val="28"/>
        </w:rPr>
      </w:pPr>
      <w:r w:rsidRPr="0062675F">
        <w:rPr>
          <w:b/>
          <w:sz w:val="28"/>
          <w:szCs w:val="28"/>
        </w:rPr>
        <w:t>ACKNOWLEDGEMENT</w:t>
      </w:r>
      <w:r>
        <w:rPr>
          <w:b/>
          <w:sz w:val="28"/>
          <w:szCs w:val="28"/>
        </w:rPr>
        <w:t xml:space="preserve"> OF THE POLICIES</w:t>
      </w:r>
    </w:p>
    <w:p w:rsidR="0062675F" w:rsidRDefault="0062675F" w:rsidP="00147809">
      <w:pPr>
        <w:ind w:left="720"/>
      </w:pPr>
    </w:p>
    <w:p w:rsidR="00147809" w:rsidRDefault="00147809" w:rsidP="00147809">
      <w:pPr>
        <w:ind w:left="720"/>
      </w:pPr>
      <w:r>
        <w:t xml:space="preserve">I have read and fully understand the </w:t>
      </w:r>
      <w:r w:rsidR="00F13AA6">
        <w:t xml:space="preserve">2018 – 2019 UWCCSC </w:t>
      </w:r>
      <w:r>
        <w:t>Math Department policies outlined above.</w:t>
      </w:r>
    </w:p>
    <w:p w:rsidR="00147809" w:rsidRDefault="00147809" w:rsidP="00147809">
      <w:pPr>
        <w:ind w:left="360"/>
      </w:pPr>
    </w:p>
    <w:p w:rsidR="00147809" w:rsidRDefault="00147809" w:rsidP="00147809">
      <w:pPr>
        <w:ind w:left="360"/>
      </w:pPr>
    </w:p>
    <w:p w:rsidR="00147809" w:rsidRDefault="00147809" w:rsidP="00147809">
      <w:pPr>
        <w:ind w:left="360"/>
      </w:pPr>
      <w:r>
        <w:tab/>
      </w:r>
      <w:r>
        <w:tab/>
      </w:r>
      <w:r>
        <w:tab/>
      </w:r>
      <w:r>
        <w:tab/>
      </w:r>
      <w:r>
        <w:tab/>
      </w:r>
      <w:r>
        <w:tab/>
      </w:r>
      <w:r>
        <w:tab/>
      </w:r>
      <w:r>
        <w:tab/>
        <w:t>______________________________</w:t>
      </w:r>
    </w:p>
    <w:p w:rsidR="00147809" w:rsidRDefault="00147809" w:rsidP="00147809">
      <w:pPr>
        <w:ind w:left="360"/>
      </w:pPr>
      <w:r>
        <w:tab/>
      </w:r>
      <w:r>
        <w:tab/>
      </w:r>
      <w:r>
        <w:tab/>
      </w:r>
      <w:r>
        <w:tab/>
      </w:r>
      <w:r>
        <w:tab/>
      </w:r>
      <w:r>
        <w:tab/>
      </w:r>
      <w:r>
        <w:tab/>
      </w:r>
      <w:r>
        <w:tab/>
        <w:t>Student’s signature</w:t>
      </w:r>
    </w:p>
    <w:p w:rsidR="00147809" w:rsidRDefault="00147809" w:rsidP="00147809">
      <w:pPr>
        <w:ind w:left="360"/>
      </w:pPr>
    </w:p>
    <w:p w:rsidR="00147809" w:rsidRDefault="00147809" w:rsidP="00147809">
      <w:pPr>
        <w:ind w:left="360"/>
      </w:pPr>
      <w:r>
        <w:tab/>
      </w:r>
      <w:r>
        <w:tab/>
      </w:r>
      <w:r>
        <w:tab/>
      </w:r>
      <w:r>
        <w:tab/>
      </w:r>
      <w:r>
        <w:tab/>
      </w:r>
      <w:r>
        <w:tab/>
      </w:r>
      <w:r>
        <w:tab/>
      </w:r>
      <w:r>
        <w:tab/>
        <w:t>______________________________</w:t>
      </w:r>
    </w:p>
    <w:p w:rsidR="00147809" w:rsidRDefault="00147809" w:rsidP="00147809">
      <w:pPr>
        <w:ind w:left="360"/>
      </w:pPr>
      <w:r>
        <w:tab/>
      </w:r>
      <w:r>
        <w:tab/>
      </w:r>
      <w:r>
        <w:tab/>
      </w:r>
      <w:r>
        <w:tab/>
      </w:r>
      <w:r>
        <w:tab/>
      </w:r>
      <w:r>
        <w:tab/>
      </w:r>
      <w:r>
        <w:tab/>
      </w:r>
      <w:r>
        <w:tab/>
        <w:t>Date</w:t>
      </w:r>
    </w:p>
    <w:sectPr w:rsidR="0014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2D7A"/>
    <w:multiLevelType w:val="hybridMultilevel"/>
    <w:tmpl w:val="1416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869DB"/>
    <w:multiLevelType w:val="hybridMultilevel"/>
    <w:tmpl w:val="3DAC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7378B"/>
    <w:multiLevelType w:val="hybridMultilevel"/>
    <w:tmpl w:val="7EEC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86E85"/>
    <w:multiLevelType w:val="hybridMultilevel"/>
    <w:tmpl w:val="27FA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2073F"/>
    <w:multiLevelType w:val="hybridMultilevel"/>
    <w:tmpl w:val="90CED632"/>
    <w:lvl w:ilvl="0" w:tplc="E7706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CC4508"/>
    <w:multiLevelType w:val="hybridMultilevel"/>
    <w:tmpl w:val="EE28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A14BF"/>
    <w:multiLevelType w:val="hybridMultilevel"/>
    <w:tmpl w:val="3BBE752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5F875BA"/>
    <w:multiLevelType w:val="hybridMultilevel"/>
    <w:tmpl w:val="A3A8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15"/>
    <w:rsid w:val="00067B5B"/>
    <w:rsid w:val="000D7D41"/>
    <w:rsid w:val="000E786D"/>
    <w:rsid w:val="000F2CD7"/>
    <w:rsid w:val="00130309"/>
    <w:rsid w:val="001364D4"/>
    <w:rsid w:val="00147809"/>
    <w:rsid w:val="001A3854"/>
    <w:rsid w:val="001D6946"/>
    <w:rsid w:val="00262943"/>
    <w:rsid w:val="002D037D"/>
    <w:rsid w:val="002E3468"/>
    <w:rsid w:val="00313CE8"/>
    <w:rsid w:val="00326EB0"/>
    <w:rsid w:val="00370CCA"/>
    <w:rsid w:val="00391762"/>
    <w:rsid w:val="003C47AB"/>
    <w:rsid w:val="004114E3"/>
    <w:rsid w:val="004B50B4"/>
    <w:rsid w:val="00513A84"/>
    <w:rsid w:val="00541915"/>
    <w:rsid w:val="005817B2"/>
    <w:rsid w:val="006002A0"/>
    <w:rsid w:val="00603BD7"/>
    <w:rsid w:val="00607DDA"/>
    <w:rsid w:val="0062675F"/>
    <w:rsid w:val="00633645"/>
    <w:rsid w:val="006A3ADE"/>
    <w:rsid w:val="00720E69"/>
    <w:rsid w:val="00725516"/>
    <w:rsid w:val="00754CA0"/>
    <w:rsid w:val="007702D5"/>
    <w:rsid w:val="007B0D9B"/>
    <w:rsid w:val="007D066E"/>
    <w:rsid w:val="00825840"/>
    <w:rsid w:val="00860CD6"/>
    <w:rsid w:val="00864B87"/>
    <w:rsid w:val="00894193"/>
    <w:rsid w:val="00971A4A"/>
    <w:rsid w:val="0099265F"/>
    <w:rsid w:val="009A07AD"/>
    <w:rsid w:val="00A513A0"/>
    <w:rsid w:val="00A86BD8"/>
    <w:rsid w:val="00AA2E07"/>
    <w:rsid w:val="00AF1A48"/>
    <w:rsid w:val="00AF25E2"/>
    <w:rsid w:val="00B90284"/>
    <w:rsid w:val="00BB2206"/>
    <w:rsid w:val="00C20A26"/>
    <w:rsid w:val="00C21854"/>
    <w:rsid w:val="00C401CA"/>
    <w:rsid w:val="00C823C6"/>
    <w:rsid w:val="00CB0E9D"/>
    <w:rsid w:val="00D10205"/>
    <w:rsid w:val="00DC77A3"/>
    <w:rsid w:val="00E66D55"/>
    <w:rsid w:val="00E72F48"/>
    <w:rsid w:val="00E8018F"/>
    <w:rsid w:val="00EA154E"/>
    <w:rsid w:val="00EA7F14"/>
    <w:rsid w:val="00EB6B81"/>
    <w:rsid w:val="00F13AA6"/>
    <w:rsid w:val="00F35D41"/>
    <w:rsid w:val="00F4440A"/>
    <w:rsid w:val="00FA0068"/>
    <w:rsid w:val="00FD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4A054-A095-4FD4-B1E3-802AFE00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15"/>
    <w:pPr>
      <w:ind w:left="720"/>
      <w:contextualSpacing/>
    </w:pPr>
  </w:style>
  <w:style w:type="table" w:styleId="TableGrid">
    <w:name w:val="Table Grid"/>
    <w:basedOn w:val="TableNormal"/>
    <w:uiPriority w:val="39"/>
    <w:rsid w:val="00136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0D9B"/>
    <w:pPr>
      <w:spacing w:after="0" w:line="240" w:lineRule="auto"/>
    </w:pPr>
    <w:rPr>
      <w:rFonts w:ascii="Times New Roman" w:hAnsi="Times New Roman" w:cs="Times New Roman"/>
      <w:sz w:val="24"/>
      <w:szCs w:val="24"/>
    </w:rPr>
  </w:style>
  <w:style w:type="character" w:styleId="Emphasis">
    <w:name w:val="Emphasis"/>
    <w:basedOn w:val="DefaultParagraphFont"/>
    <w:uiPriority w:val="20"/>
    <w:qFormat/>
    <w:rsid w:val="007B0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31150">
      <w:bodyDiv w:val="1"/>
      <w:marLeft w:val="0"/>
      <w:marRight w:val="0"/>
      <w:marTop w:val="0"/>
      <w:marBottom w:val="0"/>
      <w:divBdr>
        <w:top w:val="none" w:sz="0" w:space="0" w:color="auto"/>
        <w:left w:val="none" w:sz="0" w:space="0" w:color="auto"/>
        <w:bottom w:val="none" w:sz="0" w:space="0" w:color="auto"/>
        <w:right w:val="none" w:sz="0" w:space="0" w:color="auto"/>
      </w:divBdr>
    </w:div>
    <w:div w:id="169692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Villajin</dc:creator>
  <cp:keywords/>
  <dc:description/>
  <cp:lastModifiedBy>Kokming Lee</cp:lastModifiedBy>
  <cp:revision>2</cp:revision>
  <dcterms:created xsi:type="dcterms:W3CDTF">2018-05-28T13:38:00Z</dcterms:created>
  <dcterms:modified xsi:type="dcterms:W3CDTF">2018-05-28T13:38:00Z</dcterms:modified>
</cp:coreProperties>
</file>