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jc w:val="center"/>
      </w:pPr>
      <w:r>
        <w:rPr>
          <w:rFonts w:ascii="Times New Roman" w:cs="Times New Roman" w:eastAsia="Times New Roman" w:hAnsi="Times New Roman"/>
          <w:b/>
          <w:bCs/>
          <w:sz w:val="36"/>
          <w:szCs w:val="36"/>
        </w:rPr>
        <w:t xml:space="preserve">Quantum-Optimised Generation of Operational Design Domain Boundary Test Scenarios, Traceably Derived from Safety Requirements for Automated Driving Systems</w:t>
      </w:r>
    </w:p>
    <w:p>
      <w:pPr>
        <w:spacing w:after="240"/>
        <w:jc w:val="center"/>
      </w:pPr>
      <w:r>
        <w:rPr>
          <w:rFonts w:ascii="Times New Roman" w:cs="Times New Roman" w:eastAsia="Times New Roman" w:hAnsi="Times New Roman"/>
          <w:sz w:val="24"/>
          <w:szCs w:val="24"/>
        </w:rPr>
        <w:t xml:space="preserve">Saadia Sadaf (SP24-PCS-002)</w:t>
      </w:r>
    </w:p>
    <w:p>
      <w:pPr>
        <w:spacing w:after="240"/>
        <w:jc w:val="center"/>
      </w:pPr>
      <w:r>
        <w:rPr>
          <w:rFonts w:ascii="Times New Roman" w:cs="Times New Roman" w:eastAsia="Times New Roman" w:hAnsi="Times New Roman"/>
          <w:sz w:val="24"/>
          <w:szCs w:val="24"/>
        </w:rPr>
        <w:t xml:space="preserve">Doctor of Philosophy in Computer Science</w:t>
      </w:r>
    </w:p>
    <w:p>
      <w:pPr>
        <w:spacing w:after="240"/>
        <w:jc w:val="center"/>
      </w:pPr>
      <w:r>
        <w:rPr>
          <w:rFonts w:ascii="Times New Roman" w:cs="Times New Roman" w:eastAsia="Times New Roman" w:hAnsi="Times New Roman"/>
          <w:sz w:val="24"/>
          <w:szCs w:val="24"/>
        </w:rPr>
        <w:t xml:space="preserve">Department of Computer Science, COMSATS University Islamabad</w:t>
      </w:r>
    </w:p>
    <w:p>
      <w:pPr>
        <w:spacing w:after="240"/>
        <w:jc w:val="center"/>
      </w:pPr>
      <w:r>
        <w:rPr>
          <w:rFonts w:ascii="Times New Roman" w:cs="Times New Roman" w:eastAsia="Times New Roman" w:hAnsi="Times New Roman"/>
          <w:sz w:val="24"/>
          <w:szCs w:val="24"/>
        </w:rPr>
        <w:t xml:space="preserve">Supervisor: Prof. Dr. Manzoor Ilahi Tamimy</w:t>
      </w:r>
    </w:p>
    <w:p>
      <w:pPr>
        <w:spacing w:after="240"/>
        <w:jc w:val="center"/>
      </w:pPr>
      <w:r>
        <w:rPr>
          <w:rFonts w:ascii="Times New Roman" w:cs="Times New Roman" w:eastAsia="Times New Roman" w:hAnsi="Times New Roman"/>
          <w:sz w:val="24"/>
          <w:szCs w:val="24"/>
        </w:rPr>
        <w:t xml:space="preserve">Co-supervisor: Prof. Dr. Majid Iqbal Khan</w:t>
      </w:r>
    </w:p>
    <w:p>
      <w:pPr>
        <w:spacing w:after="240"/>
        <w:jc w:val="center"/>
      </w:pPr>
      <w:r>
        <w:rPr>
          <w:rFonts w:ascii="Times New Roman" w:cs="Times New Roman" w:eastAsia="Times New Roman" w:hAnsi="Times New Roman"/>
          <w:sz w:val="24"/>
          <w:szCs w:val="24"/>
        </w:rPr>
        <w:t xml:space="preserve">September 2026</w:t>
      </w:r>
    </w:p>
    <w:p>
      <w:r>
        <w:br w:type="page"/>
      </w:r>
    </w:p>
    <w:p>
      <w:pPr>
        <w:pStyle w:val="Heading1"/>
      </w:pPr>
      <w:r>
        <w:rPr>
          <w:rFonts w:ascii="Times New Roman" w:cs="Times New Roman" w:eastAsia="Times New Roman" w:hAnsi="Times New Roman"/>
          <w:b/>
          <w:bCs/>
          <w:sz w:val="32"/>
          <w:szCs w:val="32"/>
        </w:rPr>
        <w:t xml:space="preserve">Abstract</w:t>
      </w:r>
    </w:p>
    <w:p>
      <w:pPr>
        <w:spacing w:after="160" w:line="360"/>
        <w:jc w:val="both"/>
      </w:pPr>
      <w:r>
        <w:rPr>
          <w:rFonts w:ascii="Times New Roman" w:cs="Times New Roman" w:eastAsia="Times New Roman" w:hAnsi="Times New Roman"/>
          <w:sz w:val="24"/>
          <w:szCs w:val="24"/>
        </w:rPr>
        <w:t xml:space="preserve">Automated driving systems continue to show safety-relevant failures after deployment, and several recent investigations concern behaviour at or beyond the limits of a system's Operational Design Domain (ODD), the set of conditions under which it is designed to operate. A current example is NHTSA Engineering Analysis EA26002, opened in March 2026, which concerns the failure of a driver-assistance system's degradation-detection function to detect and warn under reduced roadway visibility [1]. Regulation now requires that an automated driving system recognise its ODD conditions and boundaries and respond when they are no longer fulfilled [2], yet published methods either formalise the ODD without deriving it from stated safety requirements [3], [4], or generate test scenarios from sources other than safety requirements, such as crash reports [5] or traffic rules [6], without optimised selection of the scenarios to run.</w:t>
      </w:r>
    </w:p>
    <w:p>
      <w:pPr>
        <w:spacing w:after="160" w:line="360"/>
        <w:jc w:val="both"/>
      </w:pPr>
      <w:r>
        <w:rPr>
          <w:rFonts w:ascii="Times New Roman" w:cs="Times New Roman" w:eastAsia="Times New Roman" w:hAnsi="Times New Roman"/>
          <w:sz w:val="24"/>
          <w:szCs w:val="24"/>
        </w:rPr>
        <w:t xml:space="preserve">This thesis develops and evaluates a two-phase method. Phase A extracts ODD boundary predicates (dimension, variable, operator, threshold and unit) from natural-language safety requirements and stores a trace link from each predicate to its source requirement. It is modelled on published requirement-formalisation pipelines [7], [8] and evaluated on a corpus of real regulatory requirements annotated independently by two people. Phase B formulates the selection of boundary test scenarios as a Quadratic Unconstrained Binary Optimization (QUBO) problem, solved with quantum annealing and the Quantum Approximate Optimization Algorithm (QAOA), and compares the result with classical baselines that include combinatorial, search-based and random testing [9]. The evaluation asks how accurately predicates can be extracted, whether quantum-optimised scenario sets match classical ones on coverage and fault detection, what they cost to compute, and whether every selected scenario remains traceable to a requirement when that requirement changes.</w:t>
      </w:r>
    </w:p>
    <w:p>
      <w:pPr>
        <w:spacing w:after="160" w:line="360"/>
        <w:jc w:val="both"/>
      </w:pPr>
      <w:r>
        <w:rPr>
          <w:rFonts w:ascii="Times New Roman" w:cs="Times New Roman" w:eastAsia="Times New Roman" w:hAnsi="Times New Roman"/>
          <w:sz w:val="24"/>
          <w:szCs w:val="24"/>
        </w:rPr>
        <w:t xml:space="preserve">A preliminary feasibility study demonstrated that both phases can be realised with openly available tools and established two design requirements: rule-based extraction fell from 80% accuracy on the sentences from which its rules were derived to 28% on unseen sentences, which motivates a trained pipeline evaluated on a real corpus, and the scenario-selection objective must reward coverage explicitly. Consistent with the closest published work, the thesis does not presuppose that quantum methods outperform classical ones. Its contributions are a traceable link from stated safety requirements to selected verification scenarios, a public annotated requirements corpus, and a rigorous empirical assessment of where quantum optimisation does and does not offer benefit for this class of problem.</w:t>
      </w:r>
    </w:p>
    <w:p>
      <w:pPr>
        <w:pStyle w:val="Heading1"/>
      </w:pPr>
      <w:r>
        <w:rPr>
          <w:rFonts w:ascii="Times New Roman" w:cs="Times New Roman" w:eastAsia="Times New Roman" w:hAnsi="Times New Roman"/>
          <w:b/>
          <w:bCs/>
          <w:sz w:val="32"/>
          <w:szCs w:val="32"/>
        </w:rPr>
        <w:t xml:space="preserve">Declaration on the Use of Generative AI Tools</w:t>
      </w:r>
    </w:p>
    <w:p>
      <w:pPr>
        <w:spacing w:after="160" w:line="360"/>
        <w:jc w:val="both"/>
      </w:pPr>
      <w:r>
        <w:rPr>
          <w:rFonts w:ascii="Times New Roman" w:cs="Times New Roman" w:eastAsia="Times New Roman" w:hAnsi="Times New Roman"/>
          <w:sz w:val="24"/>
          <w:szCs w:val="24"/>
        </w:rPr>
        <w:t xml:space="preserve">In preparing this thesis, I used generative AI tools to assist with verifying bibliographic records against publisher and official sources, with language editing, and with developing code for the preliminary feasibility study reported in Chapter 4. I checked every source cited in this thesis against its original record. The research design, analysis, interpretation and conclusions are my own. No AI system produced gold-standard annotations or evaluation results.</w:t>
      </w:r>
    </w:p>
    <w:p>
      <w:pPr>
        <w:pStyle w:val="Heading1"/>
      </w:pPr>
      <w:r>
        <w:rPr>
          <w:rFonts w:ascii="Times New Roman" w:cs="Times New Roman" w:eastAsia="Times New Roman" w:hAnsi="Times New Roman"/>
          <w:b/>
          <w:bCs/>
          <w:sz w:val="32"/>
          <w:szCs w:val="32"/>
        </w:rPr>
        <w:t xml:space="preserve">Lay Summary</w:t>
      </w:r>
    </w:p>
    <w:p>
      <w:pPr>
        <w:spacing w:after="160" w:line="360"/>
        <w:jc w:val="both"/>
      </w:pPr>
      <w:r>
        <w:rPr>
          <w:rFonts w:ascii="Times New Roman" w:cs="Times New Roman" w:eastAsia="Times New Roman" w:hAnsi="Times New Roman"/>
          <w:sz w:val="24"/>
          <w:szCs w:val="24"/>
        </w:rPr>
        <w:t xml:space="preserve">Self-driving and driver-assistance systems are designed to work only under certain conditions, such as good visibility or marked lanes. Some real crashes have happened when those conditions were no longer met. Safety rules for these vehicles are written in ordinary language, so it is hard to check automatically that testing actually covers the conditions the rules describe. This research builds a tool that reads safety rules, picks out the conditions they set (for example "visibility below a threshold"), and keeps a record of which rule each condition came from. It then chooses a small set of test situations that cover those conditions, and compares doing this with quantum computing against standard methods. The aim is not to prove that a vehicle is perfectly safe, but to make testing traceable to the safety rules and to establish rigorously whether quantum computing helps.</w:t>
      </w:r>
    </w:p>
    <w:p>
      <w:r>
        <w:br w:type="page"/>
      </w:r>
    </w:p>
    <w:p>
      <w:pPr>
        <w:pStyle w:val="Heading1"/>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sz w:val="32"/>
          <w:szCs w:val="32"/>
        </w:rPr>
        <w:t xml:space="preserve">Chapter 1: Introduction</w:t>
      </w:r>
    </w:p>
    <w:p>
      <w:pPr>
        <w:pStyle w:val="Heading2"/>
      </w:pPr>
      <w:r>
        <w:rPr>
          <w:rFonts w:ascii="Times New Roman" w:cs="Times New Roman" w:eastAsia="Times New Roman" w:hAnsi="Times New Roman"/>
          <w:b/>
          <w:bCs/>
          <w:sz w:val="28"/>
          <w:szCs w:val="28"/>
        </w:rPr>
        <w:t xml:space="preserve">1.1 Background</w:t>
      </w:r>
    </w:p>
    <w:p>
      <w:pPr>
        <w:spacing w:after="160" w:line="360"/>
        <w:jc w:val="both"/>
      </w:pPr>
      <w:r>
        <w:rPr>
          <w:rFonts w:ascii="Times New Roman" w:cs="Times New Roman" w:eastAsia="Times New Roman" w:hAnsi="Times New Roman"/>
          <w:sz w:val="24"/>
          <w:szCs w:val="24"/>
        </w:rPr>
        <w:t xml:space="preserve">Driving automation is described by SAE J3016, which defines the levels of automation and the term Operational Design Domain [10]. Systems at these levels are now deployed at scale, and their safety is argued under ISO 26262 for functional safety [11] and ISO 21448 for the safety of the intended functionality (SOTIF) [12]. For systems that depend on machine-learned perception, full formal verification remains out of reach: a recent survey of formal verification for vision-based autonomous systems states that "a DNN can have billions of parameters, which precludes formal verification for most realistic, state-of-the-art networks", and that the assurances existing techniques give "are only valid when the deployed system stays within a narrow operational design domain" [13]. The ODD is therefore the natural boundary of what can be verified, and the place where verification effort is most needed.</w:t>
      </w:r>
    </w:p>
    <w:p>
      <w:pPr>
        <w:spacing w:after="160" w:line="360"/>
        <w:jc w:val="both"/>
      </w:pPr>
      <w:r>
        <w:rPr>
          <w:rFonts w:ascii="Times New Roman" w:cs="Times New Roman" w:eastAsia="Times New Roman" w:hAnsi="Times New Roman"/>
          <w:sz w:val="24"/>
          <w:szCs w:val="24"/>
        </w:rPr>
        <w:t xml:space="preserve">Scenario-based testing is the main practical alternative to distance-based road testing [14]. It faces a coverage problem: one analysis estimated a gap of "around one order of magnitude" between the test coverage needed for highly automated vehicles and the coverage that is feasible [15]. Choosing which scenarios to run is therefore itself an optimisation problem, and one that recent work has begun to formulate for quantum annealers and gate-based quantum algorithms [16]–[19].</w:t>
      </w:r>
    </w:p>
    <w:p>
      <w:pPr>
        <w:pStyle w:val="Heading2"/>
      </w:pPr>
      <w:r>
        <w:rPr>
          <w:rFonts w:ascii="Times New Roman" w:cs="Times New Roman" w:eastAsia="Times New Roman" w:hAnsi="Times New Roman"/>
          <w:b/>
          <w:bCs/>
          <w:sz w:val="28"/>
          <w:szCs w:val="28"/>
        </w:rPr>
        <w:t xml:space="preserve">1.2 Problem Statement</w:t>
      </w:r>
    </w:p>
    <w:p>
      <w:pPr>
        <w:spacing w:after="160" w:line="360"/>
        <w:jc w:val="both"/>
      </w:pPr>
      <w:r>
        <w:rPr>
          <w:rFonts w:ascii="Times New Roman" w:cs="Times New Roman" w:eastAsia="Times New Roman" w:hAnsi="Times New Roman"/>
          <w:sz w:val="24"/>
          <w:szCs w:val="24"/>
        </w:rPr>
        <w:t xml:space="preserve">Despite internal validation and simulation-based testing, automated driving and driver-assistance systems continue to show safety-relevant failures after deployment. Several recent cases concern the boundary of the system's operating conditions: the system either did not recognise that those conditions had degraded, or did not respond adequately when they did. At the same time, the requirement that a system recognise and respond to its ODD boundaries is now written into regulation [2]. What is missing is a documented, evaluated method that starts from stated safety requirements, derives the ODD boundary conditions they impose in a traceable form, and uses those conditions to select the scenarios needed to test that boundary. This thesis addresses that gap.</w:t>
      </w:r>
    </w:p>
    <w:p>
      <w:pPr>
        <w:spacing w:after="160" w:line="360"/>
        <w:jc w:val="both"/>
      </w:pPr>
      <w:r>
        <w:rPr>
          <w:rFonts w:ascii="Times New Roman" w:cs="Times New Roman" w:eastAsia="Times New Roman" w:hAnsi="Times New Roman"/>
          <w:sz w:val="24"/>
          <w:szCs w:val="24"/>
        </w:rPr>
        <w:t xml:space="preserve">Table 1.1 summarises the incident record used to motivate the thesis. Each entry is limited to what the cited primary or official source states.</w:t>
      </w:r>
    </w:p>
    <w:p>
      <w:pPr>
        <w:keepNext/>
        <w:spacing w:after="120" w:before="240"/>
        <w:jc w:val="center"/>
      </w:pPr>
      <w:r>
        <w:rPr>
          <w:rFonts w:ascii="Times New Roman" w:cs="Times New Roman" w:eastAsia="Times New Roman" w:hAnsi="Times New Roman"/>
          <w:b/>
          <w:bCs/>
          <w:sz w:val="22"/>
          <w:szCs w:val="22"/>
        </w:rPr>
        <w:t xml:space="preserve">Table 1.1. Incident record motivating the thesis (official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23"/>
        <w:gridCol w:w="1250"/>
        <w:gridCol w:w="3846"/>
        <w:gridCol w:w="1981"/>
      </w:tblGrid>
      <w:tr>
        <w:trPr>
          <w:cantSplit/>
          <w:tblHeader/>
        </w:trPr>
        <w:tc>
          <w:tcPr>
            <w:tcW w:type="dxa" w:w="192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Case</w:t>
            </w:r>
          </w:p>
        </w:tc>
        <w:tc>
          <w:tcPr>
            <w:tcW w:type="dxa" w:w="12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Date</w:t>
            </w:r>
          </w:p>
        </w:tc>
        <w:tc>
          <w:tcPr>
            <w:tcW w:type="dxa" w:w="38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What the source states</w:t>
            </w:r>
          </w:p>
        </w:tc>
        <w:tc>
          <w:tcPr>
            <w:tcW w:type="dxa" w:w="198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Relevance to ODD boundaries</w:t>
            </w:r>
          </w:p>
        </w:tc>
      </w:tr>
      <w:tr>
        <w:trPr>
          <w:cantSplit/>
          <w:tblHeader w:val="false"/>
        </w:trPr>
        <w:tc>
          <w:tcPr>
            <w:tcW w:type="dxa" w:w="192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NHTSA EA26002 (Tesla FSD)</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Opened 18 Mar 2026</w:t>
            </w:r>
          </w:p>
        </w:tc>
        <w:tc>
          <w:tcPr>
            <w:tcW w:type="dxa" w:w="384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Upgraded from PE24031; about 3,203,754 vehicles; 9 crashes including 1 fatality; alleged failure of the degradation-detection system to detect a degraded state and warn the driver under reduced roadway visibility such as glare and airborne obscurants [1]</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Direct: failure at a visibility boundary. Primary case study</w:t>
            </w:r>
          </w:p>
        </w:tc>
      </w:tr>
      <w:tr>
        <w:trPr>
          <w:cantSplit/>
          <w:tblHeader w:val="false"/>
        </w:trPr>
        <w:tc>
          <w:tcPr>
            <w:tcW w:type="dxa" w:w="192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NTSB, Ford BlueCruise</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Report 31 Mar 2026</w:t>
            </w:r>
          </w:p>
        </w:tc>
        <w:tc>
          <w:tcPr>
            <w:tcW w:type="dxa" w:w="384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Two fatal crashes; automation overreliance contributed; gaps included ineffective driver monitoring and the ability to disable automatic emergency braking while the system was engaged [20]</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Indirect: operating-condition monitoring of the driver</w:t>
            </w:r>
          </w:p>
        </w:tc>
      </w:tr>
      <w:tr>
        <w:trPr>
          <w:cantSplit/>
          <w:tblHeader w:val="false"/>
        </w:trPr>
        <w:tc>
          <w:tcPr>
            <w:tcW w:type="dxa" w:w="192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NTSB HWY26FH008 (Waymo)</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23 Jan 2026</w:t>
            </w:r>
          </w:p>
        </w:tc>
        <w:tc>
          <w:tcPr>
            <w:tcW w:type="dxa" w:w="384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Automated vehicle travelling at 17 mph struck a 9-year-old pedestrian in a Santa Monica school zone; minor injuries; investigation ongoing [21]</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School-zone conditions as part of the ODD</w:t>
            </w:r>
          </w:p>
        </w:tc>
      </w:tr>
      <w:tr>
        <w:trPr>
          <w:cantSplit/>
          <w:tblHeader w:val="false"/>
        </w:trPr>
        <w:tc>
          <w:tcPr>
            <w:tcW w:type="dxa" w:w="192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Waymo recall 25E-084</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Dec 2025</w:t>
            </w:r>
          </w:p>
        </w:tc>
        <w:tc>
          <w:tcPr>
            <w:tcW w:type="dxa" w:w="384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Software recall concerning the vehicles' behaviour around stopped school buses [22]</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Scenario class (school buses) missing from validation</w:t>
            </w:r>
          </w:p>
        </w:tc>
      </w:tr>
      <w:tr>
        <w:trPr>
          <w:cantSplit/>
          <w:tblHeader w:val="false"/>
        </w:trPr>
        <w:tc>
          <w:tcPr>
            <w:tcW w:type="dxa" w:w="192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NHTSA consent order (Cruise)</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30 Sep 2024</w:t>
            </w:r>
          </w:p>
        </w:tc>
        <w:tc>
          <w:tcPr>
            <w:tcW w:type="dxa" w:w="384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Penalty for incomplete crash reporting [23]</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Context only: a reporting, not a perception, finding</w:t>
            </w:r>
          </w:p>
        </w:tc>
      </w:tr>
    </w:tbl>
    <w:p>
      <w:pPr>
        <w:spacing w:after="200"/>
      </w:pPr>
    </w:p>
    <w:p>
      <w:pPr>
        <w:spacing w:after="160" w:line="360"/>
        <w:jc w:val="both"/>
      </w:pPr>
      <w:r>
        <w:rPr>
          <w:rFonts w:ascii="Times New Roman" w:cs="Times New Roman" w:eastAsia="Times New Roman" w:hAnsi="Times New Roman"/>
          <w:sz w:val="24"/>
          <w:szCs w:val="24"/>
        </w:rPr>
        <w:t xml:space="preserve">The NTSB and NHTSA findings concern specific systems and do not show that any manufacturer lacked a requirements process. They show that failures cluster at operating-condition boundaries, which is where this thesis concentrates. The Florida jury verdict of August 2025 against Tesla concerning a fatal Autopilot crash [24] illustrates the legal consequences that such failures can carry.</w:t>
      </w:r>
    </w:p>
    <w:p>
      <w:pPr>
        <w:pStyle w:val="Heading2"/>
      </w:pPr>
      <w:r>
        <w:rPr>
          <w:rFonts w:ascii="Times New Roman" w:cs="Times New Roman" w:eastAsia="Times New Roman" w:hAnsi="Times New Roman"/>
          <w:b/>
          <w:bCs/>
          <w:sz w:val="28"/>
          <w:szCs w:val="28"/>
        </w:rPr>
        <w:t xml:space="preserve">1.3 Aim, Objectives and Research Questions</w:t>
      </w:r>
    </w:p>
    <w:p>
      <w:pPr>
        <w:spacing w:after="160" w:line="360"/>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develop and evaluate a method that derives traceable ODD boundary predicates from natural-language safety requirements and uses them to drive quantum-optimised selection of verification scenarios for automated driving systems.</w:t>
      </w:r>
    </w:p>
    <w:p>
      <w:pPr>
        <w:spacing w:after="160" w:line="360"/>
        <w:jc w:val="both"/>
      </w:pPr>
      <w:r>
        <w:rPr>
          <w:rFonts w:ascii="Times New Roman" w:cs="Times New Roman" w:eastAsia="Times New Roman" w:hAnsi="Times New Roman"/>
          <w:b/>
          <w:bCs/>
          <w:sz w:val="24"/>
          <w:szCs w:val="24"/>
        </w:rPr>
        <w:t xml:space="preserve">Objectives.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Build and publish a corpus of real automotive safety requirements, annotated independently by two people for ODD dimension, variable, operator, threshold and unit.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Develop and evaluate a pipeline that extracts ODD boundary predicates from those requirements and stores trace links to their sources.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Formulate ODD boundary scenario selection as a QUBO problem that rewards coverage and traceability, and solve it with quantum annealing and QAOA.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Compare the quantum-optimised scenario sets with classical baselines on coverage, fault detection and computational cost, reporting all outcomes, including the absence of any significant difference.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Test whether trace links from requirement to selected scenario survive a change to the source requirement.</w:t>
      </w:r>
    </w:p>
    <w:p>
      <w:pPr>
        <w:spacing w:after="160" w:line="360"/>
        <w:jc w:val="both"/>
      </w:pPr>
      <w:r>
        <w:rPr>
          <w:rFonts w:ascii="Times New Roman" w:cs="Times New Roman" w:eastAsia="Times New Roman" w:hAnsi="Times New Roman"/>
          <w:b/>
          <w:bCs/>
          <w:sz w:val="24"/>
          <w:szCs w:val="24"/>
        </w:rPr>
        <w:t xml:space="preserve">Research questions.</w:t>
      </w:r>
      <w:r>
        <w:rPr>
          <w:rFonts w:ascii="Times New Roman" w:cs="Times New Roman" w:eastAsia="Times New Roman" w:hAnsi="Times New Roman"/>
          <w:sz w:val="24"/>
          <w:szCs w:val="24"/>
        </w:rPr>
        <w:t xml:space="preserve"> RQ1: What fraction of real automotive safety requirements can be correctly mapped to a traceable ODD boundary predicate? RQ2: Do QUBO-optimised scenario sets match or exceed classical baselines on ODD coverage and fault detection? RQ3: What is the computational cost of the quantum approach relative to classical baselines, and at what problem size do hardware limits force decomposition? RQ4: Can every selected scenario be traced to a source requirement, and does that trace survive a change to the requirement?</w:t>
      </w:r>
    </w:p>
    <w:p>
      <w:pPr>
        <w:pStyle w:val="Heading2"/>
      </w:pPr>
      <w:r>
        <w:rPr>
          <w:rFonts w:ascii="Times New Roman" w:cs="Times New Roman" w:eastAsia="Times New Roman" w:hAnsi="Times New Roman"/>
          <w:b/>
          <w:bCs/>
          <w:sz w:val="28"/>
          <w:szCs w:val="28"/>
        </w:rPr>
        <w:t xml:space="preserve">1.4 Contributions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An annotated, public corpus of real regulatory safety requirements labelled for ODD boundary predicates, with inter-annotator agreement reported.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requirement-to-ODD-predicate extraction method with stored trace links, evaluated on held-out and held-out-source splits.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QUBO formulation of ODD boundary scenario selection with an explicit coverage and traceability term, and its first evaluation in the automated-driving ODD domain.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An empirical account of where quantum optimisation does and does not help for this problem, compared against the classical baselines used in the same domain.</w:t>
      </w:r>
    </w:p>
    <w:p>
      <w:pPr>
        <w:spacing w:after="160" w:line="360"/>
        <w:jc w:val="both"/>
      </w:pPr>
      <w:r>
        <w:rPr>
          <w:rFonts w:ascii="Times New Roman" w:cs="Times New Roman" w:eastAsia="Times New Roman" w:hAnsi="Times New Roman"/>
          <w:sz w:val="24"/>
          <w:szCs w:val="24"/>
        </w:rPr>
        <w:t xml:space="preserve">Section 2.10 positions these contributions against the closest published work.</w:t>
      </w:r>
    </w:p>
    <w:p>
      <w:pPr>
        <w:pStyle w:val="Heading2"/>
      </w:pPr>
      <w:r>
        <w:rPr>
          <w:rFonts w:ascii="Times New Roman" w:cs="Times New Roman" w:eastAsia="Times New Roman" w:hAnsi="Times New Roman"/>
          <w:b/>
          <w:bCs/>
          <w:sz w:val="28"/>
          <w:szCs w:val="28"/>
        </w:rPr>
        <w:t xml:space="preserve">1.5 Scope and Limitations</w:t>
      </w:r>
    </w:p>
    <w:p>
      <w:pPr>
        <w:spacing w:after="160" w:line="360"/>
        <w:jc w:val="both"/>
      </w:pPr>
      <w:r>
        <w:rPr>
          <w:rFonts w:ascii="Times New Roman" w:cs="Times New Roman" w:eastAsia="Times New Roman" w:hAnsi="Times New Roman"/>
          <w:sz w:val="24"/>
          <w:szCs w:val="24"/>
        </w:rPr>
        <w:t xml:space="preserve">The thesis addresses traceable scenario selection at ODD boundaries. It does not claim a formal proof of vehicle safety. The case study is reconstructed from public filings about EA26002 and is not a replication of any manufacturer's system. Quantum experiments use simulators and, where access allows, publicly available cloud hardware; large-scale hardware evaluation is outside the resources of a doctoral project. The requirements corpus is drawn from public regulations and documents rather than proprietary manufacturer data.</w:t>
      </w:r>
    </w:p>
    <w:p>
      <w:pPr>
        <w:pStyle w:val="Heading2"/>
      </w:pPr>
      <w:r>
        <w:rPr>
          <w:rFonts w:ascii="Times New Roman" w:cs="Times New Roman" w:eastAsia="Times New Roman" w:hAnsi="Times New Roman"/>
          <w:b/>
          <w:bCs/>
          <w:sz w:val="28"/>
          <w:szCs w:val="28"/>
        </w:rPr>
        <w:t xml:space="preserve">1.6 Thesis Structure</w:t>
      </w:r>
    </w:p>
    <w:p>
      <w:pPr>
        <w:spacing w:after="160" w:line="360"/>
        <w:jc w:val="both"/>
      </w:pPr>
      <w:r>
        <w:rPr>
          <w:rFonts w:ascii="Times New Roman" w:cs="Times New Roman" w:eastAsia="Times New Roman" w:hAnsi="Times New Roman"/>
          <w:sz w:val="24"/>
          <w:szCs w:val="24"/>
        </w:rPr>
        <w:t xml:space="preserve">Chapter 2 reviews the literature using the method described in Section 2.1 and summarises the reviewed studies in Table 2.2. Chapter 3 presents the methodology: the corpus, the two phases and the evaluation plan. Chapter 4 reports a preliminary feasibility study that informed the design of both phases. Chapter 5 presents the full evaluation of both phases and the case study against the research questions, and Chapter 6 concludes the thesis and outlines future research.</w:t>
      </w:r>
    </w:p>
    <w:p>
      <w:r>
        <w:br w:type="page"/>
      </w:r>
    </w:p>
    <w:p>
      <w:pPr>
        <w:pStyle w:val="Heading1"/>
      </w:pPr>
      <w:r>
        <w:rPr>
          <w:rFonts w:ascii="Times New Roman" w:cs="Times New Roman" w:eastAsia="Times New Roman" w:hAnsi="Times New Roman"/>
          <w:b/>
          <w:bCs/>
          <w:sz w:val="32"/>
          <w:szCs w:val="32"/>
        </w:rPr>
        <w:t xml:space="preserve">Chapter 2: Literature Review</w:t>
      </w:r>
    </w:p>
    <w:p>
      <w:pPr>
        <w:pStyle w:val="Heading2"/>
      </w:pPr>
      <w:r>
        <w:rPr>
          <w:rFonts w:ascii="Times New Roman" w:cs="Times New Roman" w:eastAsia="Times New Roman" w:hAnsi="Times New Roman"/>
          <w:b/>
          <w:bCs/>
          <w:sz w:val="28"/>
          <w:szCs w:val="28"/>
        </w:rPr>
        <w:t xml:space="preserve">2.1 Review Method</w:t>
      </w:r>
    </w:p>
    <w:p>
      <w:pPr>
        <w:spacing w:after="160" w:line="360"/>
        <w:jc w:val="both"/>
      </w:pPr>
      <w:r>
        <w:rPr>
          <w:rFonts w:ascii="Times New Roman" w:cs="Times New Roman" w:eastAsia="Times New Roman" w:hAnsi="Times New Roman"/>
          <w:sz w:val="24"/>
          <w:szCs w:val="24"/>
        </w:rPr>
        <w:t xml:space="preserve">I conducted this review as a focused, question-driven literature synthesis informed by the guidelines of Kitchenham and Charters for systematic reviews in software engineering [25] and the mapping-study guidelines of Petersen et al. [26]. Five mapping questions structure the review: MQ1, how ODD boundaries are specified, formalised or monitored; MQ2, how natural-language automotive requirements are formalised automatically; MQ3, which methods generate or select test scenarios for automated driving and whether they preserve traceability; MQ4, how quantum and Ising-based optimisation has been applied to test generation, selection and minimisation; and MQ5, which combinations remain unaddressed.</w:t>
      </w:r>
    </w:p>
    <w:p>
      <w:pPr>
        <w:spacing w:after="160" w:line="360"/>
        <w:jc w:val="both"/>
      </w:pPr>
      <w:r>
        <w:rPr>
          <w:rFonts w:ascii="Times New Roman" w:cs="Times New Roman" w:eastAsia="Times New Roman" w:hAnsi="Times New Roman"/>
          <w:sz w:val="24"/>
          <w:szCs w:val="24"/>
        </w:rPr>
        <w:t xml:space="preserve">Sources were identified through structured keyword searches combining terms for the automated-driving domain, the ODD, safety requirements, scenario generation and quantum optimisation, complemented by backward and forward citation tracing from the most relevant studies [27]. Studies were included if they were peer-reviewed publications, official standards or regulatory documents, or openly available preprints central to MQ4 or MQ5, and if they addressed at least one mapping question. Each included source was verified against its publisher or official record, and every quantitative figure reported in this chapter is taken directly from the cited source. The resulting body of literature is analysed thematically in Sections 2.2 to 2.9, synthesised against the research gap in Section 2.10, and summarised study by study in Table 2.2.</w:t>
      </w:r>
    </w:p>
    <w:p>
      <w:pPr>
        <w:pStyle w:val="Heading2"/>
      </w:pPr>
      <w:r>
        <w:rPr>
          <w:rFonts w:ascii="Times New Roman" w:cs="Times New Roman" w:eastAsia="Times New Roman" w:hAnsi="Times New Roman"/>
          <w:b/>
          <w:bCs/>
          <w:sz w:val="28"/>
          <w:szCs w:val="28"/>
        </w:rPr>
        <w:t xml:space="preserve">2.2 Formal Verification of Automated Driving and Perception</w:t>
      </w:r>
    </w:p>
    <w:p>
      <w:pPr>
        <w:spacing w:after="160" w:line="360"/>
        <w:jc w:val="both"/>
      </w:pPr>
      <w:r>
        <w:rPr>
          <w:rFonts w:ascii="Times New Roman" w:cs="Times New Roman" w:eastAsia="Times New Roman" w:hAnsi="Times New Roman"/>
          <w:sz w:val="24"/>
          <w:szCs w:val="24"/>
        </w:rPr>
        <w:t xml:space="preserve">Model checking, whose origins Clarke describes in [28], and deductive verification remain the reference methods for proving software correct. Their application to autonomous systems has been surveyed for robotic systems [29], and specification patterns have been proposed for robotic missions [30]. For perception, Mitra et al. survey six technique families: probabilistic abstractions for perception, symbolic model checking with perception contracts, compositional verification with assumption generation, mathematical models of cameras and environments, generative models, and statistical model checking with runtime verification [13]. They note that one camera-based technique "already takes about an hour for the largest environments considered", and that the assurances such techniques afford hold only within a narrow operational design domain [13].</w:t>
      </w:r>
    </w:p>
    <w:p>
      <w:pPr>
        <w:spacing w:after="160" w:line="360"/>
        <w:jc w:val="both"/>
      </w:pPr>
      <w:r>
        <w:rPr>
          <w:rFonts w:ascii="Times New Roman" w:cs="Times New Roman" w:eastAsia="Times New Roman" w:hAnsi="Times New Roman"/>
          <w:sz w:val="24"/>
          <w:szCs w:val="24"/>
        </w:rPr>
        <w:t xml:space="preserve">Deductive verification continues to advance, for example through combining deductive and automatic verification [31] and proof reuse for product lines [32], and practitioner studies examine the obstacles to its adoption [33]; a history of the field is given by Hähnle and Huisman [34]. The annual software verification competition documents the state of automatic verification tools [35]. None of this work removes the tractability limit for machine-learned perception, which is why this thesis targets verification scenarios at the ODD boundary rather than a correctness proof.</w:t>
      </w:r>
    </w:p>
    <w:p>
      <w:pPr>
        <w:spacing w:after="160" w:line="360"/>
        <w:jc w:val="both"/>
      </w:pPr>
      <w:r>
        <w:rPr>
          <w:rFonts w:ascii="Times New Roman" w:cs="Times New Roman" w:eastAsia="Times New Roman" w:hAnsi="Times New Roman"/>
          <w:sz w:val="24"/>
          <w:szCs w:val="24"/>
        </w:rPr>
        <w:t xml:space="preserve">A parallel line of work defines safety for driving behaviour directly. Responsibility-Sensitive Safety proposes "a white-box, interpretable, mathematical model for safety assurance" for driving manoeuvres [36]. It shows that formal guarantees are achievable for precisely specifiable behaviours, while leaving the perception and operating-condition boundary open.</w:t>
      </w:r>
    </w:p>
    <w:p>
      <w:pPr>
        <w:pStyle w:val="Heading2"/>
      </w:pPr>
      <w:r>
        <w:rPr>
          <w:rFonts w:ascii="Times New Roman" w:cs="Times New Roman" w:eastAsia="Times New Roman" w:hAnsi="Times New Roman"/>
          <w:b/>
          <w:bCs/>
          <w:sz w:val="28"/>
          <w:szCs w:val="28"/>
        </w:rPr>
        <w:t xml:space="preserve">2.3 The Operational Design Domain: Standards, Formalisation and Monitoring</w:t>
      </w:r>
    </w:p>
    <w:p>
      <w:pPr>
        <w:spacing w:after="160" w:line="360"/>
        <w:jc w:val="both"/>
      </w:pPr>
      <w:r>
        <w:rPr>
          <w:rFonts w:ascii="Times New Roman" w:cs="Times New Roman" w:eastAsia="Times New Roman" w:hAnsi="Times New Roman"/>
          <w:sz w:val="24"/>
          <w:szCs w:val="24"/>
        </w:rPr>
        <w:t xml:space="preserve">The term ODD is defined in SAE J3016 [10]. Two taxonomies define its content: BSI PAS 1883 [37] and ISO 34503:2023, which specifies the ODD in the context of test scenarios for automated driving systems [38]. ASAM OpenODD, released as version 1.0.0 in April 2025, provides a machine-interpretable ODD format [39]. EU Implementing Regulation 2022/1426 makes the ODD a legal requirement for fully automated vehicles: the ADS "shall recognise its ODD conditions and boundaries of the ODD" and "shall detect and respond when one or more ODD conditions are not fulfilled or no longer fulfilled", and the regulation lists the ODD conditions to be recognised, including precipitation, time of day, light intensity, fog and mist, road and lane markings, road category and geographical area [2].</w:t>
      </w:r>
    </w:p>
    <w:p>
      <w:pPr>
        <w:spacing w:after="160" w:line="360"/>
        <w:jc w:val="both"/>
      </w:pPr>
      <w:r>
        <w:rPr>
          <w:rFonts w:ascii="Times New Roman" w:cs="Times New Roman" w:eastAsia="Times New Roman" w:hAnsi="Times New Roman"/>
          <w:sz w:val="24"/>
          <w:szCs w:val="24"/>
        </w:rPr>
        <w:t xml:space="preserve">Surveys map the ODD research landscape [40], [41], and a recent mapping study of 120 research papers and 53 industry studies concludes that "one ODD description is insufficient" to support all use cases and identifies a lack of methods for ODD change management [42]. Formalisation work defines operational domain and ODD formally but explicitly does not aim at a machine-readable specification, leaving that to ASAM OpenODD [3]. Skoglund et al. specify ODDs in the Pkl configuration language using the ISO 34503 taxonomy; they state that their work does not develop a new taxonomy and that native traceability is lacking [4]. Other work proposes ODD description methods judged by verifiability [43], taxonomies applied to specific services [44], and ties the ODD to the safety argument through strategies that keep the system within its ODD [45]. Work on identifying the ODD from assessed risk [46] and on extending the ODD to operational design conditions that include vehicle and occupant state [41] moves towards deriving the ODD from safety analysis.</w:t>
      </w:r>
    </w:p>
    <w:p>
      <w:pPr>
        <w:spacing w:after="160" w:line="360"/>
        <w:jc w:val="both"/>
      </w:pPr>
      <w:r>
        <w:rPr>
          <w:rFonts w:ascii="Times New Roman" w:cs="Times New Roman" w:eastAsia="Times New Roman" w:hAnsi="Times New Roman"/>
          <w:sz w:val="24"/>
          <w:szCs w:val="24"/>
        </w:rPr>
        <w:t xml:space="preserve">Runtime monitoring asks whether the vehicle is currently inside its ODD. Torfah et al. learn monitors of the ODD for machine-learning-based systems through counterexample-guided refinement [47]; other monitors predict failures from learned operating-condition models [48] or combine runtime monitors for AI-based perception under SOTIF [49]. These monitors are learned from data or scenario taxonomies rather than derived from stated requirements. The formal foundations of specification-based monitoring of cyber-physical systems are surveyed by Bartocci et al. [50].</w:t>
      </w:r>
    </w:p>
    <w:p>
      <w:pPr>
        <w:spacing w:after="160" w:line="360"/>
        <w:jc w:val="both"/>
      </w:pPr>
      <w:r>
        <w:rPr>
          <w:rFonts w:ascii="Times New Roman" w:cs="Times New Roman" w:eastAsia="Times New Roman" w:hAnsi="Times New Roman"/>
          <w:sz w:val="24"/>
          <w:szCs w:val="24"/>
        </w:rPr>
        <w:t xml:space="preserve">Across this literature, the ODD is specified, taxonomised, formalised and monitored, but no reviewed work derives ODD boundary predicates from natural-language safety requirements with trace links to their source. This is the gap Phase A addresses.</w:t>
      </w:r>
    </w:p>
    <w:p>
      <w:pPr>
        <w:pStyle w:val="Heading2"/>
      </w:pPr>
      <w:r>
        <w:rPr>
          <w:rFonts w:ascii="Times New Roman" w:cs="Times New Roman" w:eastAsia="Times New Roman" w:hAnsi="Times New Roman"/>
          <w:b/>
          <w:bCs/>
          <w:sz w:val="28"/>
          <w:szCs w:val="28"/>
        </w:rPr>
        <w:t xml:space="preserve">2.4 Scenario-Based Testing and Scenario Selection</w:t>
      </w:r>
    </w:p>
    <w:p>
      <w:pPr>
        <w:spacing w:after="160" w:line="360"/>
        <w:jc w:val="both"/>
      </w:pPr>
      <w:r>
        <w:rPr>
          <w:rFonts w:ascii="Times New Roman" w:cs="Times New Roman" w:eastAsia="Times New Roman" w:hAnsi="Times New Roman"/>
          <w:sz w:val="24"/>
          <w:szCs w:val="24"/>
        </w:rPr>
        <w:t xml:space="preserve">Scenario-based testing distinguishes functional, logical and concrete scenarios across the development process [51], and ISO 34502:2022 provides a scenario-based safety evaluation framework [52]. Surveys cover scenario-based safety assessment [14], scenario generation in general [53], [54], safety-critical scenario generation [55], simulation-based testing of autonomous cyber-physical systems [56], and virtual verification and validation toolchains [57]. A study with industry partners identifies challenges of virtual validation and verification for automotive functions through a workshop and a survey [58]. In a study with 50 participants, the out-of-bounds oracle used in simulation-based testing only partly matched human safety perception, which also depended on obstacles and on whether participants could interact with the vehicle [59], road features and vehicle dynamics affect which tests are cost-effective [60], and the gap between simulation and reality has been surveyed in robotics [61].</w:t>
      </w:r>
    </w:p>
    <w:p>
      <w:pPr>
        <w:spacing w:after="160" w:line="360"/>
        <w:jc w:val="both"/>
      </w:pPr>
      <w:r>
        <w:rPr>
          <w:rFonts w:ascii="Times New Roman" w:cs="Times New Roman" w:eastAsia="Times New Roman" w:hAnsi="Times New Roman"/>
          <w:sz w:val="24"/>
          <w:szCs w:val="24"/>
        </w:rPr>
        <w:t xml:space="preserve">Scenario languages and simulators make scenarios executable. Scenic is a probabilistic language for specifying scenarios and generating scenes [62], and CARLA is an open urban driving simulator [63]. Requirements can drive test generation directly: Sim-ATAV writes requirements in Signal Temporal Logic and generates tests through covering arrays and robustness-guided falsification [64], and a systems approach generates test scenarios for automated driving systems systematically [65]. Black-box safety validation algorithms more generally are surveyed by Corso et al. [66].</w:t>
      </w:r>
    </w:p>
    <w:p>
      <w:pPr>
        <w:spacing w:after="160" w:line="360"/>
        <w:jc w:val="both"/>
      </w:pPr>
      <w:r>
        <w:rPr>
          <w:rFonts w:ascii="Times New Roman" w:cs="Times New Roman" w:eastAsia="Times New Roman" w:hAnsi="Times New Roman"/>
          <w:sz w:val="24"/>
          <w:szCs w:val="24"/>
        </w:rPr>
        <w:t xml:space="preserve">For selecting scenarios, combinatorial testing gives the theoretical basis [67], and methods exist to measure the combinatorial coverage of test suites that are not covering arrays [68]. In the automated-driving domain, ontologies of the driving environment have been converted into combinatorial test suites [69], and an empirical comparison on two emergency-braking implementations found that strength-3 combinatorial testing gave the highest coverage and found all failure types, search-based testing found crashes faster, random testing had no clear advantage, and the two main approaches are "complementary" [9]. These three methods therefore form the classical baselines for Phase B. The most recent work in the reviewed set that allocates tests on the basis of the ODD, by Skoglund et al., assigns existing test cases to test environments through rule-based matching on a formalised ODD, without optimisation [70].</w:t>
      </w:r>
    </w:p>
    <w:p>
      <w:pPr>
        <w:pStyle w:val="Heading2"/>
      </w:pPr>
      <w:r>
        <w:rPr>
          <w:rFonts w:ascii="Times New Roman" w:cs="Times New Roman" w:eastAsia="Times New Roman" w:hAnsi="Times New Roman"/>
          <w:b/>
          <w:bCs/>
          <w:sz w:val="28"/>
          <w:szCs w:val="28"/>
        </w:rPr>
        <w:t xml:space="preserve">2.5 From Natural-Language Requirements to Formal Specifications</w:t>
      </w:r>
    </w:p>
    <w:p>
      <w:pPr>
        <w:spacing w:after="160" w:line="360"/>
        <w:jc w:val="both"/>
      </w:pPr>
      <w:r>
        <w:rPr>
          <w:rFonts w:ascii="Times New Roman" w:cs="Times New Roman" w:eastAsia="Times New Roman" w:hAnsi="Times New Roman"/>
          <w:sz w:val="24"/>
          <w:szCs w:val="24"/>
        </w:rPr>
        <w:t xml:space="preserve">Natural-language requirements are ambiguous, a problem surveyed by Shah and Jinwala [71] and studied in case studies [72], with recent detection approaches based on SpanBERT and named-entity recognition [73] and large language models in industry [74]. The ISO/IEC/IEEE 29148 standard defines the characteristics of well-formed requirements [75], and the role of formalism in system requirements has been surveyed [76]. Semantic approaches to requirements analysis [77], [78] and data-driven elicitation [79] are complementary lines of work.</w:t>
      </w:r>
    </w:p>
    <w:p>
      <w:pPr>
        <w:spacing w:after="160" w:line="360"/>
        <w:jc w:val="both"/>
      </w:pPr>
      <w:r>
        <w:rPr>
          <w:rFonts w:ascii="Times New Roman" w:cs="Times New Roman" w:eastAsia="Times New Roman" w:hAnsi="Times New Roman"/>
          <w:sz w:val="24"/>
          <w:szCs w:val="24"/>
        </w:rPr>
        <w:t xml:space="preserve">Automated formalisation is the closest methodological basis for Phase A. Req2Spec formalises natural-language requirements for the HANFOR tool and was evaluated on "222 automotive domain software requirements at BOSCH, 71% of which were correctly formalized" [7]. NASA's FRET uses a structured natural language, FRETish, whose four fields (scope, condition, timing and response) are compiled into metric temporal logic [8], [80]; the ODD boundary of a requirement typically sits in its condition field. DeepSTL translates English requirements into Signal Temporal Logic using grammar-generated training data and a transformer [81]. A survey of requirement formalisation with large language models reports NL-to-LTL translation accuracy of up to 94.4% on public datasets [82]. An agentic LLM approach to requirement formalisation reports 43.6% exact and 38.2% partial semantic matches in requirement extraction on 71 requirements from three cyber-physical scenarios [83]. In safety engineering specifically, an LLM-based hazard analysis pipeline for automated driving treats restricting the ODD as one of its mitigation strategies ("'Avoid being exposed to the situation' is one possibility, known today as the Operational Design Domain") [84], and agent-based retrieval-augmented generation has been used to derive safety requirements for an automated driving stack [85].</w:t>
      </w:r>
    </w:p>
    <w:p>
      <w:pPr>
        <w:spacing w:after="160" w:line="360"/>
        <w:jc w:val="both"/>
      </w:pPr>
      <w:r>
        <w:rPr>
          <w:rFonts w:ascii="Times New Roman" w:cs="Times New Roman" w:eastAsia="Times New Roman" w:hAnsi="Times New Roman"/>
          <w:sz w:val="24"/>
          <w:szCs w:val="24"/>
        </w:rPr>
        <w:t xml:space="preserve">The pipeline components proposed for Phase A are ClausIE for clause-based information extraction [86], SciBERT for domain-adapted language modelling [87] and Sentence-BERT for semantic similarity [88]. Because large language models can produce fluent but unfounded output [89], and because machine-learning components need their own testing discipline [90], [91], the thesis uses LLM-based classification only as a baseline, not as the source of gold-standard labels.</w:t>
      </w:r>
    </w:p>
    <w:p>
      <w:pPr>
        <w:pStyle w:val="Heading2"/>
      </w:pPr>
      <w:r>
        <w:rPr>
          <w:rFonts w:ascii="Times New Roman" w:cs="Times New Roman" w:eastAsia="Times New Roman" w:hAnsi="Times New Roman"/>
          <w:b/>
          <w:bCs/>
          <w:sz w:val="28"/>
          <w:szCs w:val="28"/>
        </w:rPr>
        <w:t xml:space="preserve">2.6 From Natural Language to Test Scenarios</w:t>
      </w:r>
    </w:p>
    <w:p>
      <w:pPr>
        <w:spacing w:after="160" w:line="360"/>
        <w:jc w:val="both"/>
      </w:pPr>
      <w:r>
        <w:rPr>
          <w:rFonts w:ascii="Times New Roman" w:cs="Times New Roman" w:eastAsia="Times New Roman" w:hAnsi="Times New Roman"/>
          <w:sz w:val="24"/>
          <w:szCs w:val="24"/>
        </w:rPr>
        <w:t xml:space="preserve">Three recent works generate driving scenarios from natural language and are the closest to the full pipeline of this thesis. ScenarioNL converts California DMV crash reports into executable Scenic programs simulated in CARLA, producing "syntactically-correct programs at rates of up to 90%" [5]; publicly available crash and disengagement data of the kind it uses have been compiled by Sinha et al. [92]. TARGET converts natural-language traffic rules from a driver handbook into CARLA test scenarios with an LLM, generating 217 scenarios that revealed about 700 rule violations, collisions and other issues [6]. Jian et al. derive mandatory and prohibitive driving requirements from traffic law using a taxonomy that integrates OpenDRIVE and OpenSCENARIO concepts [93]. A survey of large language models in scenario-based testing of automated driving systems reviews this emerging area [94].</w:t>
      </w:r>
    </w:p>
    <w:p>
      <w:pPr>
        <w:spacing w:after="160" w:line="360"/>
        <w:jc w:val="both"/>
      </w:pPr>
      <w:r>
        <w:rPr>
          <w:rFonts w:ascii="Times New Roman" w:cs="Times New Roman" w:eastAsia="Times New Roman" w:hAnsi="Times New Roman"/>
          <w:sz w:val="24"/>
          <w:szCs w:val="24"/>
        </w:rPr>
        <w:t xml:space="preserve">None of these works starts from safety requirements, extracts ODD boundary predicates, keeps trace links from requirement to scenario, or optimises which scenarios to run. They show that natural-language-to-scenario generation is feasible, and they provide the comparison points for the thesis's novelty claim.</w:t>
      </w:r>
    </w:p>
    <w:p>
      <w:pPr>
        <w:pStyle w:val="Heading2"/>
      </w:pPr>
      <w:r>
        <w:rPr>
          <w:rFonts w:ascii="Times New Roman" w:cs="Times New Roman" w:eastAsia="Times New Roman" w:hAnsi="Times New Roman"/>
          <w:b/>
          <w:bCs/>
          <w:sz w:val="28"/>
          <w:szCs w:val="28"/>
        </w:rPr>
        <w:t xml:space="preserve">2.7 Requirements Traceability</w:t>
      </w:r>
    </w:p>
    <w:p>
      <w:pPr>
        <w:spacing w:after="160" w:line="360"/>
        <w:jc w:val="both"/>
      </w:pPr>
      <w:r>
        <w:rPr>
          <w:rFonts w:ascii="Times New Roman" w:cs="Times New Roman" w:eastAsia="Times New Roman" w:hAnsi="Times New Roman"/>
          <w:sz w:val="24"/>
          <w:szCs w:val="24"/>
        </w:rPr>
        <w:t xml:space="preserve">Gotel and Finkelstein's analysis of the requirements traceability problem [95] and the later review of trends by Cleland-Huang et al. [96] frame the field. In the automotive domain, traceability faces specific challenges [97]; industrial reports show how traceability goes wrong in practice [98], why practitioners do not trace [99], and how traceability strategies are chosen per project [100]. A three-year study at an automotive supplier found that "consistency was less important in early development, but crucial right before a release", and that traceability tools need versioning and change propagation [101]. Recent work evaluates taxonomic trace links in an industrial case [102], recovers automotive requirement trace links with retrieval-augmented generation [103], reviews pre-requirements-specification traceability [104], and maps the effect of traceability on maintenance [105]. RQ4 draws on this literature: a trace link is useful only if it survives requirement change.</w:t>
      </w:r>
    </w:p>
    <w:p>
      <w:pPr>
        <w:pStyle w:val="Heading2"/>
      </w:pPr>
      <w:r>
        <w:rPr>
          <w:rFonts w:ascii="Times New Roman" w:cs="Times New Roman" w:eastAsia="Times New Roman" w:hAnsi="Times New Roman"/>
          <w:b/>
          <w:bCs/>
          <w:sz w:val="28"/>
          <w:szCs w:val="28"/>
        </w:rPr>
        <w:t xml:space="preserve">2.8 Quantum Optimisation for Software Testing</w:t>
      </w:r>
    </w:p>
    <w:p>
      <w:pPr>
        <w:spacing w:after="160" w:line="360"/>
        <w:jc w:val="both"/>
      </w:pPr>
      <w:r>
        <w:rPr>
          <w:rFonts w:ascii="Times New Roman" w:cs="Times New Roman" w:eastAsia="Times New Roman" w:hAnsi="Times New Roman"/>
          <w:sz w:val="24"/>
          <w:szCs w:val="24"/>
        </w:rPr>
        <w:t xml:space="preserve">QAOA was introduced by Farhi, Goldstone and Gutmann [106]; QUBO and Ising formulations for many NP problems are catalogued by Lucas [107]; and variational quantum algorithms are reviewed by Cerezo et al. [108]. Quantum annealing is covered in a monograph by McGeoch [109] and an industrial review by Yarkoni et al. [110], and its performance is measured on hardware with a time-to-target metric [111]. Preskill's characterisation of the noisy intermediate-scale quantum (NISQ) era [112] explains why advantage must be shown empirically. An independent evaluation concludes that for most optimisation problems "while D-Wave can solve such problems, its performance has not yet matched that of its classical counterparts" [113]. QUBO formulations have been applied to vehicle routing [114], [115], and error mitigation for measurement is described by Nation et al. [116].</w:t>
      </w:r>
    </w:p>
    <w:p>
      <w:pPr>
        <w:spacing w:after="160" w:line="360"/>
        <w:jc w:val="both"/>
      </w:pPr>
      <w:r>
        <w:rPr>
          <w:rFonts w:ascii="Times New Roman" w:cs="Times New Roman" w:eastAsia="Times New Roman" w:hAnsi="Times New Roman"/>
          <w:sz w:val="24"/>
          <w:szCs w:val="24"/>
        </w:rPr>
        <w:t xml:space="preserve">In software engineering, a systematic survey of 77 studies on quantum optimisation found that 62.34% of solutions (48 of 77) are quantum-inspired algorithms run on classical computers and that 91.67% of reformulated problems are single-objective [117]. Test optimisation is the most developed application. BootQA decomposes test case minimisation for quantum annealers by bootstrap sampling and achieves effectiveness similar to simulated annealing with better time efficiency on large problems [18]. SelectQA reformulates regression test selection as a QUBO solved with D-Wave's hybrid solver and is reported as comparable to Additional Greedy and DIV-GA [19]. IGDec-QAOA applies QAOA with decomposition to four industrial datasets on ideal and noisy simulators and IBM hardware; its authors state that it "does not intend to demonstrate the quantum advantage" [118]. QAOA-based test case selection with K-means decomposition was evaluated on four SIR programs with a noiseless simulator, and its efficiency "significantly declines" for larger suites [17].</w:t>
      </w:r>
    </w:p>
    <w:p>
      <w:pPr>
        <w:spacing w:after="160" w:line="360"/>
        <w:jc w:val="both"/>
      </w:pPr>
      <w:r>
        <w:rPr>
          <w:rFonts w:ascii="Times New Roman" w:cs="Times New Roman" w:eastAsia="Times New Roman" w:hAnsi="Times New Roman"/>
          <w:sz w:val="24"/>
          <w:szCs w:val="24"/>
        </w:rPr>
        <w:t xml:space="preserve">The closest precedent for Phase B generates test cases for cyber-physical systems with quantum annealing and evaluates on a vehicle platoon and a pneumatic suspension system, comparing against simulated annealing and NSGA-II [16]. Median fault detection was 82.6% for quantum annealing against 82.8% for simulated annealing and 83.0% for NSGA-II on the suspension system, and 73.0%, 73.7% and 74.2% on platooning, with no statistically significant differences (p &gt; 0.05); median QPU access time was 3.57 s against 62.3 s and 75.2 s, although embedding took 40-45 s and the authors note that the approach is not ready for large problems without decomposition. Its lab package is publicly available, which allows its baseline to be reproduced. Quantum-for-automotive work beyond testing remains narrow: for example, a quantum neural network has been applied to traffic-light classification [119]. Quantum software engineering more broadly addresses lifecycles [120], platforms [121], the definition of the discipline [122], bugs in quantum platforms [123], testing of quantum programs [124] and verification of quantum circuits [125]–[127]; these concern verifying quantum software, which is not the aim of this thesis.</w:t>
      </w:r>
    </w:p>
    <w:p>
      <w:pPr>
        <w:pStyle w:val="Heading2"/>
      </w:pPr>
      <w:r>
        <w:rPr>
          <w:rFonts w:ascii="Times New Roman" w:cs="Times New Roman" w:eastAsia="Times New Roman" w:hAnsi="Times New Roman"/>
          <w:b/>
          <w:bCs/>
          <w:sz w:val="28"/>
          <w:szCs w:val="28"/>
        </w:rPr>
        <w:t xml:space="preserve">2.9 Machine-Learning Safety, Standards and Assurance Cases</w:t>
      </w:r>
    </w:p>
    <w:p>
      <w:pPr>
        <w:spacing w:after="160" w:line="360"/>
        <w:jc w:val="both"/>
      </w:pPr>
      <w:r>
        <w:rPr>
          <w:rFonts w:ascii="Times New Roman" w:cs="Times New Roman" w:eastAsia="Times New Roman" w:hAnsi="Times New Roman"/>
          <w:sz w:val="24"/>
          <w:szCs w:val="24"/>
        </w:rPr>
        <w:t xml:space="preserve">ISO/PAS 8800:2024 addresses safety and artificial intelligence in road vehicles [128], and UL 4600 covers the evaluation of autonomous products [129]. Surveys cover artificial intelligence in safety-critical industrial and transportation systems [130], the challenges of machine learning in safety-critical cyber-physical systems [131], explainable AI for autonomous driving [132] and for black-box models generally [133], [134], certified robustness of driving perception [135] and adversarial robustness of LiDAR perception [136].</w:t>
      </w:r>
    </w:p>
    <w:p>
      <w:pPr>
        <w:spacing w:after="160" w:line="360"/>
        <w:jc w:val="both"/>
      </w:pPr>
      <w:r>
        <w:rPr>
          <w:rFonts w:ascii="Times New Roman" w:cs="Times New Roman" w:eastAsia="Times New Roman" w:hAnsi="Times New Roman"/>
          <w:sz w:val="24"/>
          <w:szCs w:val="24"/>
        </w:rPr>
        <w:t xml:space="preserve">Assurance cases connect evidence to safety claims. The Goal Structuring Notation [137] is used in the Open Autonomy Safety Case Framework [138], in a framework for autonomous trains [139] and in the model-based ACCESS approach [140]. AMLAS integrates safety assurance into the development of machine-learning components and requires the operating environment to be explicitly defined [141], [142]. The traceable predicate and scenario set produced by this thesis are candidate evidence for such arguments.</w:t>
      </w:r>
    </w:p>
    <w:p>
      <w:pPr>
        <w:pStyle w:val="Heading2"/>
      </w:pPr>
      <w:r>
        <w:rPr>
          <w:rFonts w:ascii="Times New Roman" w:cs="Times New Roman" w:eastAsia="Times New Roman" w:hAnsi="Times New Roman"/>
          <w:b/>
          <w:bCs/>
          <w:sz w:val="28"/>
          <w:szCs w:val="28"/>
        </w:rPr>
        <w:t xml:space="preserve">2.10 Synthesis and Research Gap</w:t>
      </w:r>
    </w:p>
    <w:p>
      <w:pPr>
        <w:spacing w:after="160" w:line="360"/>
        <w:jc w:val="both"/>
      </w:pPr>
      <w:r>
        <w:rPr>
          <w:rFonts w:ascii="Times New Roman" w:cs="Times New Roman" w:eastAsia="Times New Roman" w:hAnsi="Times New Roman"/>
          <w:sz w:val="24"/>
          <w:szCs w:val="24"/>
        </w:rPr>
        <w:t xml:space="preserve">Table 2.1 compares the closest works against the four properties the thesis combines.</w:t>
      </w:r>
    </w:p>
    <w:p>
      <w:pPr>
        <w:keepNext/>
        <w:spacing w:after="120" w:before="240"/>
        <w:jc w:val="center"/>
      </w:pPr>
      <w:r>
        <w:rPr>
          <w:rFonts w:ascii="Times New Roman" w:cs="Times New Roman" w:eastAsia="Times New Roman" w:hAnsi="Times New Roman"/>
          <w:b/>
          <w:bCs/>
          <w:sz w:val="22"/>
          <w:szCs w:val="22"/>
        </w:rPr>
        <w:t xml:space="preserve">Table 2.1. Closest works compared on the four properties the thesis combines (Y = yes, P = partly, N = 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634"/>
        <w:gridCol w:w="1634"/>
        <w:gridCol w:w="1634"/>
        <w:gridCol w:w="1598"/>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Work</w:t>
            </w:r>
          </w:p>
        </w:tc>
        <w:tc>
          <w:tcPr>
            <w:tcW w:type="dxa" w:w="16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Starts from safety requirements</w:t>
            </w:r>
          </w:p>
        </w:tc>
        <w:tc>
          <w:tcPr>
            <w:tcW w:type="dxa" w:w="16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Produces ODD boundary predicates</w:t>
            </w:r>
          </w:p>
        </w:tc>
        <w:tc>
          <w:tcPr>
            <w:tcW w:type="dxa" w:w="16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Requirement-to-scenario traceability</w:t>
            </w:r>
          </w:p>
        </w:tc>
        <w:tc>
          <w:tcPr>
            <w:tcW w:type="dxa" w:w="159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Optimised scenario selection</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Req2Spec [7]</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Y</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w:t>
            </w:r>
          </w:p>
        </w:tc>
        <w:tc>
          <w:tcPr>
            <w:tcW w:type="dxa" w:w="159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FRET [8]</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Y</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 (requirement to formula)</w:t>
            </w:r>
          </w:p>
        </w:tc>
        <w:tc>
          <w:tcPr>
            <w:tcW w:type="dxa" w:w="159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Sim-ATAV [64]</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 (hand-written STL)</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w:t>
            </w:r>
          </w:p>
        </w:tc>
        <w:tc>
          <w:tcPr>
            <w:tcW w:type="dxa" w:w="159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 (falsification)</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Pkl ODD formalisation [4]</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 (formal ODD)</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w:t>
            </w:r>
          </w:p>
        </w:tc>
        <w:tc>
          <w:tcPr>
            <w:tcW w:type="dxa" w:w="159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ODD-based test allocation [70]</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w:t>
            </w:r>
          </w:p>
        </w:tc>
        <w:tc>
          <w:tcPr>
            <w:tcW w:type="dxa" w:w="159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 (rule matching)</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ScenarioNL [5]</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 (crash reports)</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w:t>
            </w:r>
          </w:p>
        </w:tc>
        <w:tc>
          <w:tcPr>
            <w:tcW w:type="dxa" w:w="159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TARGET [6]</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 (traffic rules)</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 (logs)</w:t>
            </w:r>
          </w:p>
        </w:tc>
        <w:tc>
          <w:tcPr>
            <w:tcW w:type="dxa" w:w="159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Quantum annealing test generation [16]</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 (system requirements)</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N</w:t>
            </w:r>
          </w:p>
        </w:tc>
        <w:tc>
          <w:tcPr>
            <w:tcW w:type="dxa" w:w="159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Y (QUBO)</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This thesis</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Y</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Y</w:t>
            </w:r>
          </w:p>
        </w:tc>
        <w:tc>
          <w:tcPr>
            <w:tcW w:type="dxa" w:w="16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Y</w:t>
            </w:r>
          </w:p>
        </w:tc>
        <w:tc>
          <w:tcPr>
            <w:tcW w:type="dxa" w:w="159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Y (QUBO, compared with classical)</w:t>
            </w:r>
          </w:p>
        </w:tc>
      </w:tr>
    </w:tbl>
    <w:p>
      <w:pPr>
        <w:spacing w:after="200"/>
      </w:pPr>
    </w:p>
    <w:p>
      <w:pPr>
        <w:spacing w:after="160" w:line="360"/>
        <w:jc w:val="both"/>
      </w:pPr>
      <w:r>
        <w:rPr>
          <w:rFonts w:ascii="Times New Roman" w:cs="Times New Roman" w:eastAsia="Times New Roman" w:hAnsi="Times New Roman"/>
          <w:sz w:val="24"/>
          <w:szCs w:val="24"/>
        </w:rPr>
        <w:t xml:space="preserve">The Y/N/P classification reflects each work's published description as cited above. No reviewed work combines all four properties. The research gap is therefore a traceable path from stated safety requirements, through ODD boundary predicates, to an optimised and evaluated set of boundary scenarios. The most comprehensive mapping study of the ODD field to date [42] does not address this combination, which confirms the originality of the research direction pursued in this thesis.</w:t>
      </w:r>
    </w:p>
    <w:p>
      <w:pPr>
        <w:pStyle w:val="Heading2"/>
      </w:pPr>
      <w:r>
        <w:rPr>
          <w:rFonts w:ascii="Times New Roman" w:cs="Times New Roman" w:eastAsia="Times New Roman" w:hAnsi="Times New Roman"/>
          <w:b/>
          <w:bCs/>
          <w:sz w:val="28"/>
          <w:szCs w:val="28"/>
        </w:rPr>
        <w:t xml:space="preserve">2.11 Summary of Reviewed Studies</w:t>
      </w:r>
    </w:p>
    <w:p>
      <w:pPr>
        <w:spacing w:after="160" w:line="360"/>
        <w:jc w:val="both"/>
      </w:pPr>
      <w:r>
        <w:rPr>
          <w:rFonts w:ascii="Times New Roman" w:cs="Times New Roman" w:eastAsia="Times New Roman" w:hAnsi="Times New Roman"/>
          <w:sz w:val="24"/>
          <w:szCs w:val="24"/>
        </w:rPr>
        <w:t xml:space="preserve">Table 2.2 summarises the research studies discussed in this chapter: what each set out to find, how, what it found, its boundaries, and how it bears on this thesis. Standards, regulations and purely foundational works are cited in the text but not tabulated. Quoted phrases are taken from the cited source.</w:t>
      </w:r>
    </w:p>
    <w:p>
      <w:pPr>
        <w:sectPr>
          <w:footerReference w:type="default" r:id="rId7"/>
          <w:pgSz w:w="12240" w:h="15840" w:orient="portrait"/>
          <w:pgMar w:top="1440" w:right="1440" w:bottom="1440" w:left="1800" w:header="708" w:footer="708" w:gutter="0"/>
          <w:pgNumType/>
          <w:docGrid w:linePitch="360"/>
        </w:sectPr>
      </w:pPr>
    </w:p>
    <w:p>
      <w:pPr>
        <w:keepNext/>
        <w:spacing w:after="120" w:before="240"/>
        <w:jc w:val="center"/>
      </w:pPr>
      <w:r>
        <w:rPr>
          <w:rFonts w:ascii="Times New Roman" w:cs="Times New Roman" w:eastAsia="Times New Roman" w:hAnsi="Times New Roman"/>
          <w:b/>
          <w:bCs/>
          <w:sz w:val="22"/>
          <w:szCs w:val="22"/>
        </w:rPr>
        <w:t xml:space="preserve">Table 2.2. Summary of research studies reviewed in Chapter 2</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400"/>
        <w:gridCol w:w="2700"/>
        <w:gridCol w:w="2000"/>
        <w:gridCol w:w="24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17"/>
                <w:szCs w:val="17"/>
              </w:rPr>
              <w:t xml:space="preserve">Citation &amp; Year</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17"/>
                <w:szCs w:val="17"/>
              </w:rPr>
              <w:t xml:space="preserve">Research Objectives</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17"/>
                <w:szCs w:val="17"/>
              </w:rPr>
              <w:t xml:space="preserve">Methodology &amp; Sample</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17"/>
                <w:szCs w:val="17"/>
              </w:rPr>
              <w:t xml:space="preserve">Key Findings</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17"/>
                <w:szCs w:val="17"/>
              </w:rPr>
              <w:t xml:space="preserve">Limitations</w:t>
            </w:r>
          </w:p>
        </w:tc>
        <w:tc>
          <w:tcPr>
            <w:tcW w:type="dxa" w:w="246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17"/>
                <w:szCs w:val="17"/>
              </w:rPr>
              <w:t xml:space="preserve">Relevance &amp; Research Gap</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Mitra et al., 2025 [13]</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Survey formal verification techniques for vision-based autonomous systems.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Literature survey organised into six technique families (probabilistic abstraction, perception contracts, compositional verification, camera/environment models, generative models, statistical model checking/runtime verification).</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 DNN can have billions of parameters, which precludes formal verification for most realistic, state-of-the-art networks"; one camera-based technique takes "about an hour" for its largest environments.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Survey only; assurances hold "only" within a narrow operational design domain.</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Shows why full verification is intractable and why the ODD boundary is the right target for this thesis.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Shalev-Shwartz et al., 2017 [36]</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Define a formal, interpretable safety model for automated driving.</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Mathematical model (Responsibility-Sensitive Safety) plus a system design argument.</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Proposes "a white-box, interpretable, mathematical model for safety assurance".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Covers driving behaviour for specifiable manoeuvres, not perception or operating-condition boundaries.</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Shows formal guarantees are possible for narrow behaviour; the ODD boundary remains open.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Skoglund et al., 2025 [4]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Make ODD specifications machine-readable and exchangeable.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ODD formalised in the Pkl configuration language using the ISO 34503 taxonomy; automotive example.</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Formal, validated ODD configuration; test-scenario allocation named as future work.</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Does not develop a taxonomy; "native traceability is lacking".</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Closest ODD formalisation; lacks derivation from requirements and trace links, which Phase A provides.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Skoglund et al., 2025 [70]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Allocate test cases to suitable test environments using a formalised ODD.</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Pkl ODD extended with test-environment attributes; rule-based comparison ("genericCompare"); reversing-truck case study.</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Automated matching of scenario needs to simulation and HIL environment capabilities.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Rule matching, no optimisation; does not start from natural-language requirements; single case study.</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Nearest neighbour to Phase B; this thesis contributes requirement-derived predicates and optimised selection.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Hillen et al., 2025 [42]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Map research and practice on ODDs for automated driving.</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Mapping study of 120 research papers and 53 industry studies around four research questions.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"One ODD description is insufficient" for all use cases; lack of methods for ODD change management.</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Does not cover deriving ODDs from safety requirements or quantum optimisation.</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Most comprehensive ODD mapping study; it does not address requirement-derived ODDs, and it identifies change management (RQ4) as an open problem.</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Torfah et al., 2022 [47]</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Learn runtime monitors that detect when ML-based systems leave their ODD.</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Counterexample-guided refinement and conformance testing; evaluated on autonomous driving scenarios.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Framework for learning monitorable ODDs for assured autonomy.</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ODD boundary is learned from data, not derived from stated requirements.</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Contrasting route to ODD boundaries; Phase A derives them from requirements instead.</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Xu et al., 2025 [48]</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Predict failures by learning Operational Design Condition boundaries.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ODCNet (Mamba2 state-space modules with Bayesian inference and Gaussian-process calibration); three case studies (intersection, lane keeping, vehicle detection) on AV test records.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Precision 0.889, recall 0.754, F-score 0.901 on intersection data.</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Authors: long-term ODC/ODD prediction "remains limited"; boundaries learned from data.</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Learned boundaries without requirement traceability, the gap Phase A targets.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Schaller et al., 2026 [49]</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Integrate runtime monitor ensembles for AI perception into SOTIF processes.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Conceptual integration of complementary monitors into the ISO 21448 lifecycle and safety argument.</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Monitors address uncertainty sources such as disagreement between redundant systems and unfamiliar activation patterns.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Emphasises lifecycle integration rather than implementation details.</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Runtime side of ODD assurance; complementary to design-time scenario selection.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Gyllenhammar et al., 2020 [45]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Define an ODD that supports the safety argument of an ADS.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Conceptual method using use cases mapped to operating conditions.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Four generic strategies to keep the system within its ODD; modular ODD supporting continuous delivery.</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Conceptual; no automated extraction or evaluation.</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Links the ODD to safety requirements and argumentation, as Phase A does automatically.</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Mendiboure et al., 2023 [44]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Define a generic ODD taxonomy and apply it.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Analysis of existing taxonomies; application to the BuSAS bus-station service on the Satory test track.</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Six-category taxonomy (physical infrastructure, scenery, environmental conditions, traffic conditions, digital infrastructure, vehicle capabilities).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Single use case.</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Candidate taxonomy for Phase A's target schema alongside ISO 34503 and PAS 1883.</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Xu et al., 2026 [41]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Review the Operational Design Condition (ODC) framework.</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Comprehensive literature review.</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ODC extends the ODD with driver/passenger and vehicle state; closed-loop ODC development with hazard analysis, monitoring and extension.</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Review; no new empirical evaluation.</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Supports deriving operating conditions from hazard analysis, the direction Phase A takes.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Menzel et al., 2018 [51]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Define scenario notions for developing and testing automated vehicles.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Conceptual analysis across the ISO 26262 process.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Functional, logical and concrete scenario abstraction levels.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Conceptual.</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Phase B's seed scenarios are logical scenarios in this sense.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Riedmaier et al., 2020 [14]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Survey scenario-based safety assessment of automated vehicles.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Literature survey with a new taxonomy.</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Selecting representative scenarios from an effectively infinite space is a central challenge; proposes combining scenario-based testing with formal verification.</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Survey only.</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Motivates optimised scenario selection (Phase B).</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Amersbach and Winner, 2019 [15]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Determine the scenario coverage needed for validation of highly automated vehicles.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Analytical approach converting required test distance into required scenarios.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Gap of "around one order of magnitude" between required and feasible test coverage.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Estimation approach; points to combining with other methods.</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Quantitative case for selecting fewer, better scenarios.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Tuncali et al., 2019 [64]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Generate tests for AVs with ML components from formal requirements.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Sim-ATAV: requirements in Signal Temporal Logic; covering arrays and robustness-guided falsification; three driving scenarios with camera, lidar, radar and a DNN detector.</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Finds critical behaviours from collision risks to sensor failures propagating to system faults.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Requirements written by hand in STL; no ODD mapping.</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Requirement-driven testing precedent; the thesis starts from natural language and ODD predicates.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Khastgir et al., 2021 [65]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Create test scenarios for ADS systematically.</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Systems approach to scenario creation.</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Argues that the types of scenarios matter more than test mileage.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No optimisation of the resulting scenario set.</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Classical route from safety analysis to scenarios.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Li et al., 2020 [69]</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Generate tests for automated driving functions from environment ontologies.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Two algorithms converting ontologies into combinatorial test cases; case study in simulation.</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Practical combinatorial testing of automated driving functions.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Ontology written by experts, not derived from requirements.</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Combinatorial baseline family for Phase B.</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Klück et al., 2023 [9]</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Compare combinatorial and search-based testing for automated driving.</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Empirical comparison on two emergency-braking implementations; combinatorial (strength 3), search-based and random testing.</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Combinatorial testing had the highest coverage and found all failure types; search-based testing found crashes faster; random had no clear advantage; methods are "complementary".</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Two implementations of one function.</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Defines the classical baselines Phase B must match.</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Birchler et al., 2024 [59]</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Check whether simulation-based test verdicts match human perception.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Study with 50 participants in virtual reality; test cases from BeamNG.tech and CARLA.</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The out-of-bounds oracle only partly matched human safety perception, which also depended on obstacles and interaction.</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Mostly academic participants; two simulators; one oracle.</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Caution for Phase B fault-detection oracles in simulation.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Cabrero-Daniel and Mohamad, 2025 [58]</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Identify challenges of virtual validation and verification of automotive functions.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Workshop (7 participants) and survey (10 respondents from 9 partner organisations, including 4 automotive companies).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Challenges and solutions of virtual V&amp;V from industry and research perspectives.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Small qualitative sample.</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Industrial context for simulation-based scenario testing.</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Nayak et al., 2022 [7]</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Transform natural-language requirements into formal specifications.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Req2Spec NLP pipeline producing HANFOR specifications; 222 automotive requirements at Bosch.</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"71% of which were correctly formalized".</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General requirement formalisation, not specific to ODD conditions.</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Architectural basis for Phase A; 71% is the reference point for RQ1.</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Giannakopoulou et al., 2021 [8]</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Formalise structured natural-language requirements automatically.</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FRETish language with scope, condition, timing and response fields compiled to metric temporal logic; applied to Lockheed Martin CPS requirements.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Future- and past-time formulas generated; equivalence checked by automated verification; open-source FRET tool.</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Requires writing requirements in a restricted language.</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Provides the field structure used in the Phase A annotation guideline.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He et al., 2022 [81]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Translate English requirements into Signal Temporal Logic.</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Grammar-based synthetic training data and transformer translation (DeepSTL).</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High translation quality for well-trained requirement patterns.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Quality depends on patterns seen in training.</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Alternative learned translator; comparison point for Phase A.</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Tagliaferro et al., 2026 [83]</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Formalise requirements from unstructured specifications with an agentic LLM.</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LLM agents; 71 requirements from three cyber-physical scenarios.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43.6% exact and 38.2% partial semantic match in extraction; 88.7% verifiability accuracy; 77.8% effective semantic translation.</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Small preprint study; three cyber-physical scenarios.</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Shows LLM formalisation is feasible but imperfect; supports using LLMs as baseline only.</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Nouri et al., 2024 [84]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Use LLMs to engineer safety requirements for autonomous driving.</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LLM-based hazard analysis and risk assessment pipeline; evaluated through expert interviews.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Experts found LLM-generated safety requirements "comparable to human-written results"; ODD restriction appears as a mitigation strategy.</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Human oversight remains essential.</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Upstream source of ODD-related safety requirements for Phase A.</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Balu et al., 2025 [85]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Derive safety requirements automatically with agent-based RAG.</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Agent-based retrieval-augmented generation over safety standards; Apollo ADS.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Higher retrieval precision than default RAG.</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Similarity metrics barely separate the two approaches.</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Another upstream route to safety requirements.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Bashir et al., 2025 [74]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Detect and explain requirement ambiguity with LLMs in industry.</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Three open LLMs; 663 requirements from Westermo and Alstom; 0- to 10-shot prompting; 8 experts rated explanations.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10-shot prompting gave a 20.2% average improvement over 0-shot; explanations rated 3.84/5.</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Authors: results "may not be generalizable beyond the studied contexts"; weak domain terminology.</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Ambiguity is a risk for Phase A extraction; LLMs need examples and oversight.</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Talha et al., 2025 [73]</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Detect ambiguities in software requirements semi-automatically.</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SpanBERT with named-entity recognition; 425 functional requirements from 16 domains.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Outperformed ChatGPT at detecting anaphoric, coordination and missing-condition ambiguity.</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General requirements, not automotive safety.</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Missing-condition ambiguity bears directly on extracting ODD conditions.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Menghi et al., 2021 [30]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Provide specification patterns for robotic missions.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Pattern catalogue from 245 mission requirements; evaluated on 441 real requirements and 1,251 specifications.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About 92% of the collected specifications expressible with the patterns.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Robotics missions, not automotive ODDs.</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Pattern-based formalisation as a precedent for structured predicates.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Elmaaroufi et al., 2024 [5]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Generate probabilistic scenario programs from natural language.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ScenarioNL: California DMV crash reports converted into Scenic programs simulated in CARLA.</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Syntactically correct programs at rates "up to 90%"; composite score 4.3 against 2.0-3.6 for baselines.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Input is crash reports; no ODD predicates, traceability or selection.</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Closest end-to-end neighbour; the thesis starts from safety requirements and optimises selection.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Deng et al., 2023 [6]</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Generate test scenarios from traffic rules.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TARGET: LLM parses 98 rules from a driver handbook into CARLA scenarios.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217 scenarios on 8 maps revealed about 700 violations and collisions; 90 of 98 rules parsed with full accuracy.</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Traffic rules, not safety requirements; no ODD boundaries or optimisation.</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Shows natural-language-to-scenario generation is feasible.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Jian et al., 2026 [93]</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Derive driving requirements from traffic laws.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LLM with taxonomy-guided anchoring over a 227-node taxonomy integrating OpenDRIVE/OpenSCENARIO; field tests with 20 AVs.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Law-scenario matching F1 0.804 against 0.513 for baselines.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Preprint; limited explicit ODD mapping.</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Taxonomy-anchored extraction with traceability, methodologically close to Phase A.</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Wohlrab et al., 2020 [101]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Understand how traceability should evolve in automotive development.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Three-year case study at an automotive supplier.</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"Consistency was less important in early development, but crucial right before a release"; tools need versioning and change propagation.</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Single company.</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Evidence for RQ4: traces must survive change.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Niu et al., 2025 [103]</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Validate and recover automotive requirement trace links.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TVR with retrieval-augmented generation; 1,320 stakeholder and 48 system requirements with 2,132 links.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98.87% validation accuracy and 85.50% recovery correctness; 502 missing links found.</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Single industrial project; data not public.</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Post-hoc recovery; the thesis creates trace links at extraction time.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Zhang et al., 2026 [117]</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Survey quantum optimisation in software engineering.</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Systematic literature review of 77 studies covering 32 software-engineering problems.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62.34% of solutions are quantum-inspired on classical hardware; 91.67% of reformulated problems are single-objective.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Survey; field dominated by classical simulation.</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Positions Phase B and warns against claiming advantage from simulation.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Araujo et al., 2025 [16]</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Generate test cases for cyber-physical systems with quantum annealing.</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QUBO formulation on D-Wave; vehicle platoon and pneumatic suspension; compared with simulated annealing and NSGA-II.</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Fault detection 82.6% against 82.8% and 83.0% (suspension), no significant differences (p &gt; 0.05); QPU access 3.57 s against 62.3 s and 75.2 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Embedding took 40-45 s; only two systems; not ready for large problems without decomposition.</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Closest Phase B precedent; its public lab package lets the thesis reproduce the baseline.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Wang et al., 2024 [18]</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Minimise test suites with quantum annealers.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BootQA: bootstrap-sampling decomposition and a QUBO with execution time and failure rate; three datasets (89 to 1,663 tests).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Effectiveness similar to simulated annealing; better time efficiency on large problems.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Relies on decomposition for hardware limits.</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Decomposition strategy for Phase B.</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Trovato et al., 2025 [19]</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Reformulate regression test optimisation with quantum annealing.</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SelectQA: QUBO solved with D-Wave's hybrid solver; compared with BootQA, Additional Greedy and DIV-GA.</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More effective than BootQA; comparable to Additional Greedy and DIV-GA.</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Uses a hybrid classical-quantum solver.</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QUBO test-selection precedent; baselines for Phase B.</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Trovato et al., 2025 [17]</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Investigate QAOA for test case selection.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QAOA with K-means decomposition; four SIR programs (flex, grep, gzip, sed); noiseless statevector simulator.</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Outperformed baselines and SelectQA in effectiveness.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Simulator only; efficiency "significantly declines" for larger suites.</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QAOA route for Phase B with the same decomposition problem.</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Wang et al., 2023 [118]</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Apply QAOA to test case optimisation.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IGDec-QAOA on four industrial datasets (90 to 5,555 tests); ideal and noisy simulators and IBM hardware.</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Comparable to classical approaches; beat GA on two of five problems.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Authors: does "not intend to demonstrate the quantum advantage".</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Model for transparent reporting and hardware execution in Phase B.</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Quinton et al., 2025 [113]</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Assess quantum annealing against classical solvers.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Comparative evaluation of D-Wave on optimisation problems.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"Its performance has not yet matched that of its classical counterparts"; hybrid solver most promising for integer quadratic objectives.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General optimisation problems, not test selection.</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Independent caution against assuming quantum advantage in Phase B.</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King et al., 2015 [111]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Benchmark a quantum annealer against classical solvers.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Time-to-target metric on D-Wave 2X; problems of 128 to 1,097 qubits.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2x to 15x faster than single-threaded classical software including I/O.</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Vendor study; specific problem classes and 2015 hardware.</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Defines a time-based metric usable for RQ3.</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Innan et al., 2024 [119]</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Classify traffic-light states with a quantum neural network.</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QNN with quantum image encodings; CARLA and cropped LISA datasets.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97.42% accuracy on CARLA data and 84.08% on cropped LISA.</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Perception task only; noise sensitivity varies by noise type.</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Shows quantum work in driving is mostly perception, not testing.</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Paterson et al., 2025 [141]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Provide a methodology for assuring ML components in autonomous systems.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AMLAS lifecycle with safety-case argument patterns; examples across healthcare, automotive and aerospace.</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First methodology integrating safety assurance into ML component development.</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Guidance-level; relies on explicitly defined operating environments.</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The thesis's traceable predicates and scenarios are candidate evidence for such arguments.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Sinha et al., 2021 [92]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Make California AV crash and disengagement data usable for research.</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Processed DMV disengagement data (2014-2019) and crash data to March 2020, with OpenStreetMap context.</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Standardised public dataset of AV incidents.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Limited to California reports and their reporting format.</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Candidate data for validating ODD extraction on incident narratives.</w:t>
            </w:r>
          </w:p>
        </w:tc>
      </w:tr>
    </w:tbl>
    <w:p>
      <w:pPr>
        <w:spacing w:after="200"/>
      </w:pPr>
    </w:p>
    <w:p>
      <w:pPr>
        <w:sectPr>
          <w:footerReference w:type="default" r:id="rId8"/>
          <w:pgSz w:w="15840" w:h="12240" w:orient="landscape"/>
          <w:pgMar w:top="1440" w:right="1440" w:bottom="1440" w:left="1440" w:header="708" w:footer="708" w:gutter="0"/>
          <w:pgNumType/>
          <w:docGrid w:linePitch="360"/>
        </w:sectPr>
      </w:pPr>
    </w:p>
    <w:p>
      <w:pPr>
        <w:pStyle w:val="Heading2"/>
      </w:pPr>
      <w:r>
        <w:rPr>
          <w:rFonts w:ascii="Times New Roman" w:cs="Times New Roman" w:eastAsia="Times New Roman" w:hAnsi="Times New Roman"/>
          <w:b/>
          <w:bCs/>
          <w:sz w:val="28"/>
          <w:szCs w:val="28"/>
        </w:rPr>
        <w:t xml:space="preserve">2.12 Limitations of the Review</w:t>
      </w:r>
    </w:p>
    <w:p>
      <w:pPr>
        <w:spacing w:after="160" w:line="360"/>
        <w:jc w:val="both"/>
      </w:pPr>
      <w:r>
        <w:rPr>
          <w:rFonts w:ascii="Times New Roman" w:cs="Times New Roman" w:eastAsia="Times New Roman" w:hAnsi="Times New Roman"/>
          <w:sz w:val="24"/>
          <w:szCs w:val="24"/>
        </w:rPr>
        <w:t xml:space="preserve">This review adopts a focused scoping strategy. It prioritises depth at the intersection of four themes (ODD specification, requirement formalisation, scenario-based testing and quantum optimisation for software testing) over exhaustive coverage of each theme individually, and it is limited to English-language sources published between 2010 and 2026, together with earlier foundational works where they define concepts used in this thesis. Because quantum optimisation for software testing is a rapidly developing field, a small number of recent preprints are included where no peer-reviewed equivalent exists; these are identified as preprints in the reference list, and their findings are interpreted with corresponding caution. Standards and regulations are cited from their official catalogues and texts. Finally, the classification in Table 2.1 and the summaries in Table 2.2 are based on the published descriptions of each study and are therefore bounded by the level of detail those publications report.</w:t>
      </w:r>
    </w:p>
    <w:p>
      <w:r>
        <w:br w:type="page"/>
      </w:r>
    </w:p>
    <w:p>
      <w:pPr>
        <w:pStyle w:val="Heading1"/>
      </w:pPr>
      <w:r>
        <w:rPr>
          <w:rFonts w:ascii="Times New Roman" w:cs="Times New Roman" w:eastAsia="Times New Roman" w:hAnsi="Times New Roman"/>
          <w:b/>
          <w:bCs/>
          <w:sz w:val="32"/>
          <w:szCs w:val="32"/>
        </w:rPr>
        <w:t xml:space="preserve">Chapter 3: Methodology</w:t>
      </w:r>
    </w:p>
    <w:p>
      <w:pPr>
        <w:pStyle w:val="Heading2"/>
      </w:pPr>
      <w:r>
        <w:rPr>
          <w:rFonts w:ascii="Times New Roman" w:cs="Times New Roman" w:eastAsia="Times New Roman" w:hAnsi="Times New Roman"/>
          <w:b/>
          <w:bCs/>
          <w:sz w:val="28"/>
          <w:szCs w:val="28"/>
        </w:rPr>
        <w:t xml:space="preserve">3.1 Research Paradigm and Design</w:t>
      </w:r>
    </w:p>
    <w:p>
      <w:pPr>
        <w:spacing w:after="160" w:line="360"/>
        <w:jc w:val="both"/>
      </w:pPr>
      <w:r>
        <w:rPr>
          <w:rFonts w:ascii="Times New Roman" w:cs="Times New Roman" w:eastAsia="Times New Roman" w:hAnsi="Times New Roman"/>
          <w:sz w:val="24"/>
          <w:szCs w:val="24"/>
        </w:rPr>
        <w:t xml:space="preserve">The thesis follows design science research: it builds artefacts (the corpus, the extraction method and the QUBO formulation) and evaluates them against defined criteria. The evaluation is experimental and comparative: each artefact is compared with published baselines on fixed metrics, anchored by a case study reconstructed from public records.</w:t>
      </w:r>
    </w:p>
    <w:p>
      <w:pPr>
        <w:pStyle w:val="Heading2"/>
      </w:pPr>
      <w:r>
        <w:rPr>
          <w:rFonts w:ascii="Times New Roman" w:cs="Times New Roman" w:eastAsia="Times New Roman" w:hAnsi="Times New Roman"/>
          <w:b/>
          <w:bCs/>
          <w:sz w:val="28"/>
          <w:szCs w:val="28"/>
        </w:rPr>
        <w:t xml:space="preserve">3.2 Requirements Corpus</w:t>
      </w:r>
    </w:p>
    <w:p>
      <w:pPr>
        <w:spacing w:after="160" w:line="360"/>
        <w:jc w:val="both"/>
      </w:pPr>
      <w:r>
        <w:rPr>
          <w:rFonts w:ascii="Times New Roman" w:cs="Times New Roman" w:eastAsia="Times New Roman" w:hAnsi="Times New Roman"/>
          <w:sz w:val="24"/>
          <w:szCs w:val="24"/>
        </w:rPr>
        <w:t xml:space="preserve">Phase A is evaluated on real requirements only. The first source is EU Implementing Regulation 2022/1426 [2]. Its Annex II contains the performance requirements for the automated driving system, including the ODD requirements quoted in Section 2.3; its Annex III contains the assessment provisions. An extraction script recorded 370 points verbatim with their annex and point numbers: all 141 numbered points of Annex II (91 containing "shall" or "must" and 50 context points such as the list of ODD conditions) and the 229 normative points of Annex III. UN Regulation No. 157 on Automated Lane Keeping Systems [143] is the second source, and the PURE dataset of 79 public requirements documents [144] supplies non-automotive requirements for negative examples. Requirements written by the researcher, including those used in the feasibility study, are excluded from evaluation.</w:t>
      </w:r>
    </w:p>
    <w:p>
      <w:pPr>
        <w:spacing w:after="160" w:line="360"/>
        <w:jc w:val="both"/>
      </w:pPr>
      <w:r>
        <w:rPr>
          <w:rFonts w:ascii="Times New Roman" w:cs="Times New Roman" w:eastAsia="Times New Roman" w:hAnsi="Times New Roman"/>
          <w:sz w:val="24"/>
          <w:szCs w:val="24"/>
        </w:rPr>
        <w:t xml:space="preserve">Each requirement is annotated for whether it contains an ODD condition and, if so, its dimension, variable, operator, threshold, unit and required response. Annotation reads each requirement through FRET's scope, condition, timing and response fields [8]. The dimension schema comprises the ODD conditions enumerated in EU 2022/1426 Annex II point 3.1.4.1, supplemented by speed, traffic participants, temperature and a "generic" category for requirements that refer to the ODD as a whole, and its labels are aligned with the taxonomies of ISO 34503 [38] and PAS 1883 [37].</w:t>
      </w:r>
    </w:p>
    <w:p>
      <w:pPr>
        <w:spacing w:after="160" w:line="360"/>
        <w:jc w:val="both"/>
      </w:pPr>
      <w:r>
        <w:rPr>
          <w:rFonts w:ascii="Times New Roman" w:cs="Times New Roman" w:eastAsia="Times New Roman" w:hAnsi="Times New Roman"/>
          <w:sz w:val="24"/>
          <w:szCs w:val="24"/>
        </w:rPr>
        <w:t xml:space="preserve">Two annotators label the corpus independently after a calibration round on 20 requirements. Agreement is reported with Cohen's kappa [145] for the categorical fields and exact-match percentage for variable, operator, threshold and unit. Disagreements are resolved by discussion or by the supervisor as a third annotator. No AI system acts as annotator. The corpus is split 60/20/20 into training, development and test sets, stratified by source and fixed before any model is built, with an additional held-out-source evaluation.</w:t>
      </w:r>
    </w:p>
    <w:p>
      <w:pPr>
        <w:pStyle w:val="Heading2"/>
      </w:pPr>
      <w:r>
        <w:rPr>
          <w:rFonts w:ascii="Times New Roman" w:cs="Times New Roman" w:eastAsia="Times New Roman" w:hAnsi="Times New Roman"/>
          <w:b/>
          <w:bCs/>
          <w:sz w:val="28"/>
          <w:szCs w:val="28"/>
        </w:rPr>
        <w:t xml:space="preserve">3.3 Phase A: Requirement to Traceable ODD Boundary Predicate</w:t>
      </w:r>
    </w:p>
    <w:p>
      <w:pPr>
        <w:spacing w:after="160" w:line="360"/>
        <w:jc w:val="both"/>
      </w:pPr>
      <w:r>
        <w:rPr>
          <w:rFonts w:ascii="Times New Roman" w:cs="Times New Roman" w:eastAsia="Times New Roman" w:hAnsi="Times New Roman"/>
          <w:sz w:val="24"/>
          <w:szCs w:val="24"/>
        </w:rPr>
        <w:t xml:space="preserve">Phase A follows the architecture of Req2Spec [7]. Clause-level extraction with ClausIE [86] isolates the condition clause; a SciBERT-based classifier [87] assigns the ODD dimension; Sentence-BERT embeddings [88] match variables to taxonomy entries; and a rule layer extracts operator, threshold and unit. The output for each requirement is a record of the form requirement identifier, ODD dimension, boundary predicate, response, stored so that a change to the requirement can be propagated to every predicate and scenario that depends on it. Where useful, predicates can be exported in the ASAM OpenODD format [39].</w:t>
      </w:r>
    </w:p>
    <w:p>
      <w:pPr>
        <w:spacing w:after="160" w:line="360"/>
        <w:jc w:val="both"/>
      </w:pPr>
      <w:r>
        <w:rPr>
          <w:rFonts w:ascii="Times New Roman" w:cs="Times New Roman" w:eastAsia="Times New Roman" w:hAnsi="Times New Roman"/>
          <w:sz w:val="24"/>
          <w:szCs w:val="24"/>
        </w:rPr>
        <w:t xml:space="preserve">Baselines are the rule-based and TF-IDF extractors from the feasibility study (Chapter 4) and zero-shot classification with a large language model. Results are reported as precision, recall and F1 per field on the test split, and compared with Req2Spec's 71% [7] as a reference point for a related but different task.</w:t>
      </w:r>
    </w:p>
    <w:p>
      <w:pPr>
        <w:pStyle w:val="Heading2"/>
      </w:pPr>
      <w:r>
        <w:rPr>
          <w:rFonts w:ascii="Times New Roman" w:cs="Times New Roman" w:eastAsia="Times New Roman" w:hAnsi="Times New Roman"/>
          <w:b/>
          <w:bCs/>
          <w:sz w:val="28"/>
          <w:szCs w:val="28"/>
        </w:rPr>
        <w:t xml:space="preserve">3.4 Phase B: ODD Predicate to QUBO Scenario Selection</w:t>
      </w:r>
    </w:p>
    <w:p>
      <w:pPr>
        <w:spacing w:after="160" w:line="360"/>
        <w:jc w:val="both"/>
      </w:pPr>
      <w:r>
        <w:rPr>
          <w:rFonts w:ascii="Times New Roman" w:cs="Times New Roman" w:eastAsia="Times New Roman" w:hAnsi="Times New Roman"/>
          <w:sz w:val="24"/>
          <w:szCs w:val="24"/>
        </w:rPr>
        <w:t xml:space="preserve">Phase B adapts the pipeline of the closest precedent [16]. First, seed scenarios are generated as logical scenarios [51] parameterised by the ODD dimensions extracted in Phase A, for example a vehicle approaching a visibility boundary at a given speed with a given pedestrian exposure. Second, selecting scenarios is formulated as a QUBO [107] with terms for effectiveness, diversity, set size, dimension coverage and a traceability weight that favours scenarios exercising a predicate derived from a stated requirement. Third, large problems are decomposed into sub-problems that fit the hardware, following the decomposition strategies used in BootQA [18], IGDec-QAOA [118] and QAOA-based selection [17].</w:t>
      </w:r>
    </w:p>
    <w:p>
      <w:pPr>
        <w:spacing w:after="160" w:line="360"/>
        <w:jc w:val="both"/>
      </w:pPr>
      <w:r>
        <w:rPr>
          <w:rFonts w:ascii="Times New Roman" w:cs="Times New Roman" w:eastAsia="Times New Roman" w:hAnsi="Times New Roman"/>
          <w:sz w:val="24"/>
          <w:szCs w:val="24"/>
        </w:rPr>
        <w:t xml:space="preserve">The QUBO is solved with quantum annealing and with QAOA [106]. Baselines are random sampling, combinatorial testing, search-based testing [9], a greedy coverage heuristic, simulated annealing and NSGA-II, so that results are comparable with both the automated-driving testing literature and the quantum precedent. The precedent's public lab package is used first to reproduce its baseline. Selected scenarios are executed in CARLA [63], written as Scenic programs [62], against a reconstructed fault model of the EA26002 visibility case [1].</w:t>
      </w:r>
    </w:p>
    <w:p>
      <w:pPr>
        <w:pStyle w:val="Heading2"/>
      </w:pPr>
      <w:r>
        <w:rPr>
          <w:rFonts w:ascii="Times New Roman" w:cs="Times New Roman" w:eastAsia="Times New Roman" w:hAnsi="Times New Roman"/>
          <w:b/>
          <w:bCs/>
          <w:sz w:val="28"/>
          <w:szCs w:val="28"/>
        </w:rPr>
        <w:t xml:space="preserve">3.5 Evaluation Plan</w:t>
      </w:r>
    </w:p>
    <w:p>
      <w:pPr>
        <w:keepNext/>
        <w:spacing w:after="120" w:before="240"/>
        <w:jc w:val="center"/>
      </w:pPr>
      <w:r>
        <w:rPr>
          <w:rFonts w:ascii="Times New Roman" w:cs="Times New Roman" w:eastAsia="Times New Roman" w:hAnsi="Times New Roman"/>
          <w:b/>
          <w:bCs/>
          <w:sz w:val="22"/>
          <w:szCs w:val="22"/>
        </w:rPr>
        <w:t xml:space="preserve">Table 3.1. Research questions, metrics and baselines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73"/>
        <w:gridCol w:w="3076"/>
        <w:gridCol w:w="2884"/>
        <w:gridCol w:w="2367"/>
      </w:tblGrid>
      <w:tr>
        <w:trPr>
          <w:cantSplit/>
          <w:tblHeader/>
        </w:trPr>
        <w:tc>
          <w:tcPr>
            <w:tcW w:type="dxa" w:w="67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RQ</w:t>
            </w:r>
          </w:p>
        </w:tc>
        <w:tc>
          <w:tcPr>
            <w:tcW w:type="dxa" w:w="307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Metrics</w:t>
            </w:r>
          </w:p>
        </w:tc>
        <w:tc>
          <w:tcPr>
            <w:tcW w:type="dxa" w:w="288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Baselines / reference</w:t>
            </w:r>
          </w:p>
        </w:tc>
        <w:tc>
          <w:tcPr>
            <w:tcW w:type="dxa" w:w="236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Statistical treatment</w:t>
            </w:r>
          </w:p>
        </w:tc>
      </w:tr>
      <w:tr>
        <w:trPr>
          <w:cantSplit/>
          <w:tblHeader w:val="false"/>
        </w:trPr>
        <w:tc>
          <w:tcPr>
            <w:tcW w:type="dxa" w:w="67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RQ1</w:t>
            </w:r>
          </w:p>
        </w:tc>
        <w:tc>
          <w:tcPr>
            <w:tcW w:type="dxa" w:w="307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Precision, recall and F1 per annotated field; agreement with gold labels on the test split and held-out source</w:t>
            </w:r>
          </w:p>
        </w:tc>
        <w:tc>
          <w:tcPr>
            <w:tcW w:type="dxa" w:w="288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Rule-based, TF-IDF and LLM zero-shot extractors; Req2Spec 71% as reference</w:t>
            </w:r>
          </w:p>
        </w:tc>
        <w:tc>
          <w:tcPr>
            <w:tcW w:type="dxa" w:w="236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95% confidence intervals by bootstrap</w:t>
            </w:r>
          </w:p>
        </w:tc>
      </w:tr>
      <w:tr>
        <w:trPr>
          <w:cantSplit/>
          <w:tblHeader w:val="false"/>
        </w:trPr>
        <w:tc>
          <w:tcPr>
            <w:tcW w:type="dxa" w:w="67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RQ2</w:t>
            </w:r>
          </w:p>
        </w:tc>
        <w:tc>
          <w:tcPr>
            <w:tcW w:type="dxa" w:w="307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ODD dimension-combination coverage; input and output diversity; fault detection on the reconstructed fault model</w:t>
            </w:r>
          </w:p>
        </w:tc>
        <w:tc>
          <w:tcPr>
            <w:tcW w:type="dxa" w:w="288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Random, combinatorial, search-based, greedy, simulated annealing, NSGA-II</w:t>
            </w:r>
          </w:p>
        </w:tc>
        <w:tc>
          <w:tcPr>
            <w:tcW w:type="dxa" w:w="236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Wilcoxon or Mann-Whitney tests over repeated runs; effect sizes</w:t>
            </w:r>
          </w:p>
        </w:tc>
      </w:tr>
      <w:tr>
        <w:trPr>
          <w:cantSplit/>
          <w:tblHeader w:val="false"/>
        </w:trPr>
        <w:tc>
          <w:tcPr>
            <w:tcW w:type="dxa" w:w="67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RQ3</w:t>
            </w:r>
          </w:p>
        </w:tc>
        <w:tc>
          <w:tcPr>
            <w:tcW w:type="dxa" w:w="307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Wall-clock time; QPU access time; embedding time; qubits; problem size at which decomposition is required</w:t>
            </w:r>
          </w:p>
        </w:tc>
        <w:tc>
          <w:tcPr>
            <w:tcW w:type="dxa" w:w="288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Same as RQ2</w:t>
            </w:r>
          </w:p>
        </w:tc>
        <w:tc>
          <w:tcPr>
            <w:tcW w:type="dxa" w:w="236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Scaling curves over problem size</w:t>
            </w:r>
          </w:p>
        </w:tc>
      </w:tr>
      <w:tr>
        <w:trPr>
          <w:cantSplit/>
          <w:tblHeader w:val="false"/>
        </w:trPr>
        <w:tc>
          <w:tcPr>
            <w:tcW w:type="dxa" w:w="67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RQ4</w:t>
            </w:r>
          </w:p>
        </w:tc>
        <w:tc>
          <w:tcPr>
            <w:tcW w:type="dxa" w:w="307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Share of selected scenarios with an unbroken trace to a source requirement; correctness of change propagation after a requirement edit</w:t>
            </w:r>
          </w:p>
        </w:tc>
        <w:tc>
          <w:tcPr>
            <w:tcW w:type="dxa" w:w="288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Manual trace audit</w:t>
            </w:r>
          </w:p>
        </w:tc>
        <w:tc>
          <w:tcPr>
            <w:tcW w:type="dxa" w:w="236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Descriptive, with every broken link listed</w:t>
            </w:r>
          </w:p>
        </w:tc>
      </w:tr>
    </w:tbl>
    <w:p>
      <w:pPr>
        <w:spacing w:after="200"/>
      </w:pPr>
    </w:p>
    <w:p>
      <w:pPr>
        <w:spacing w:after="160" w:line="360"/>
        <w:jc w:val="both"/>
      </w:pPr>
      <w:r>
        <w:rPr>
          <w:rFonts w:ascii="Times New Roman" w:cs="Times New Roman" w:eastAsia="Times New Roman" w:hAnsi="Times New Roman"/>
          <w:b/>
          <w:bCs/>
          <w:sz w:val="24"/>
          <w:szCs w:val="24"/>
        </w:rPr>
        <w:t xml:space="preserve">Threats to validity.</w:t>
      </w:r>
      <w:r>
        <w:rPr>
          <w:rFonts w:ascii="Times New Roman" w:cs="Times New Roman" w:eastAsia="Times New Roman" w:hAnsi="Times New Roman"/>
          <w:sz w:val="24"/>
          <w:szCs w:val="24"/>
        </w:rPr>
        <w:t xml:space="preserve"> The case study is a reconstruction from public information. Simulator results may not hold on noisy hardware. The corpus is drawn from regulations, whose wording may differ from manufacturers' internal requirements. The held-out-source evaluation and the full reporting of all outcomes, including non-significant differences, are the principal mitigations.</w:t>
      </w:r>
    </w:p>
    <w:p>
      <w:pPr>
        <w:pStyle w:val="Heading2"/>
      </w:pPr>
      <w:r>
        <w:rPr>
          <w:rFonts w:ascii="Times New Roman" w:cs="Times New Roman" w:eastAsia="Times New Roman" w:hAnsi="Times New Roman"/>
          <w:b/>
          <w:bCs/>
          <w:sz w:val="28"/>
          <w:szCs w:val="28"/>
        </w:rPr>
        <w:t xml:space="preserve">3.6 Ethics and Research Integrity</w:t>
      </w:r>
    </w:p>
    <w:p>
      <w:pPr>
        <w:spacing w:after="160" w:line="360"/>
        <w:jc w:val="both"/>
      </w:pPr>
      <w:r>
        <w:rPr>
          <w:rFonts w:ascii="Times New Roman" w:cs="Times New Roman" w:eastAsia="Times New Roman" w:hAnsi="Times New Roman"/>
          <w:sz w:val="24"/>
          <w:szCs w:val="24"/>
        </w:rPr>
        <w:t xml:space="preserve">The second annotator takes part with informed consent, following COMSATS procedures. The case study uses only public regulatory records. All experimental figures are produced by version-controlled code and data that are archived with the thesis. The use of generative AI tools is set out in the Declaration at the front of this thesis, in accordance with university policy; no AI system provides gold-standard labels or evaluation results.</w:t>
      </w:r>
    </w:p>
    <w:p>
      <w:r>
        <w:br w:type="page"/>
      </w:r>
    </w:p>
    <w:p>
      <w:pPr>
        <w:pStyle w:val="Heading1"/>
      </w:pPr>
      <w:r>
        <w:rPr>
          <w:rFonts w:ascii="Times New Roman" w:cs="Times New Roman" w:eastAsia="Times New Roman" w:hAnsi="Times New Roman"/>
          <w:b/>
          <w:bCs/>
          <w:sz w:val="32"/>
          <w:szCs w:val="32"/>
        </w:rPr>
        <w:t xml:space="preserve">Chapter 4: Preliminary Feasibility Study</w:t>
      </w:r>
    </w:p>
    <w:p>
      <w:pPr>
        <w:spacing w:after="160" w:line="360"/>
        <w:jc w:val="both"/>
      </w:pPr>
      <w:r>
        <w:rPr>
          <w:rFonts w:ascii="Times New Roman" w:cs="Times New Roman" w:eastAsia="Times New Roman" w:hAnsi="Times New Roman"/>
          <w:sz w:val="24"/>
          <w:szCs w:val="24"/>
        </w:rPr>
        <w:t xml:space="preserve">Before constructing the corpus and experimental framework described in Chapter 3, I conducted a small-scale feasibility study to establish whether both phases could be realised with openly available tools and to identify design requirements early. The study deliberately used small samples: 15 development and 25 held-out requirement sentences written for the study, and 10 candidate scenarios. Its results are therefore indicative rather than confirmatory; they informed the design decisions in Chapter 3, and the full evaluation on the real-requirements corpus is reported in Chapter 5.</w:t>
      </w:r>
    </w:p>
    <w:p>
      <w:pPr>
        <w:pStyle w:val="Heading2"/>
      </w:pPr>
      <w:r>
        <w:rPr>
          <w:rFonts w:ascii="Times New Roman" w:cs="Times New Roman" w:eastAsia="Times New Roman" w:hAnsi="Times New Roman"/>
          <w:b/>
          <w:bCs/>
          <w:sz w:val="28"/>
          <w:szCs w:val="28"/>
        </w:rPr>
        <w:t xml:space="preserve">4.1 Phase A: Predicate Extraction</w:t>
      </w:r>
    </w:p>
    <w:p>
      <w:pPr>
        <w:spacing w:after="160" w:line="360"/>
        <w:jc w:val="both"/>
      </w:pPr>
      <w:r>
        <w:rPr>
          <w:rFonts w:ascii="Times New Roman" w:cs="Times New Roman" w:eastAsia="Times New Roman" w:hAnsi="Times New Roman"/>
          <w:sz w:val="24"/>
          <w:szCs w:val="24"/>
        </w:rPr>
        <w:t xml:space="preserve">A rule-based extractor was written from 15 sentences and scored on the same sentences: 93.3% correct ODD dimension (14 of 15) and 80.0% fully correct including the predicate (12 of 15). On 25 new sentences scored without adjustment, dimension accuracy fell to 32.0% and full correctness to 28.0%. A TF-IDF similarity classifier built from the 15 training sentences scored 28.0% on the same 25. Zero-shot classification of the 25 sentences by a large language model assigned the dimension correctly in 24 cases (96.0%); the one disagreement concerned a daylight-only restriction that could be read as a lighting or a time condition.</w:t>
      </w:r>
    </w:p>
    <w:p>
      <w:pPr>
        <w:keepNext/>
        <w:spacing w:after="120" w:before="240"/>
        <w:jc w:val="center"/>
      </w:pPr>
      <w:r>
        <w:rPr>
          <w:rFonts w:ascii="Times New Roman" w:cs="Times New Roman" w:eastAsia="Times New Roman" w:hAnsi="Times New Roman"/>
          <w:b/>
          <w:bCs/>
          <w:sz w:val="22"/>
          <w:szCs w:val="22"/>
        </w:rPr>
        <w:t xml:space="preserve">Table 4.1. Phase A feasibility-study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30"/>
        <w:gridCol w:w="2500"/>
        <w:gridCol w:w="2307"/>
        <w:gridCol w:w="2463"/>
      </w:tblGrid>
      <w:tr>
        <w:trPr>
          <w:cantSplit/>
          <w:tblHeader/>
        </w:trPr>
        <w:tc>
          <w:tcPr>
            <w:tcW w:type="dxa" w:w="173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Method</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Evaluation set</w:t>
            </w:r>
          </w:p>
        </w:tc>
        <w:tc>
          <w:tcPr>
            <w:tcW w:type="dxa" w:w="230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Result</w:t>
            </w:r>
          </w:p>
        </w:tc>
        <w:tc>
          <w:tcPr>
            <w:tcW w:type="dxa" w:w="246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Limitation</w:t>
            </w:r>
          </w:p>
        </w:tc>
      </w:tr>
      <w:tr>
        <w:trPr>
          <w:cantSplit/>
          <w:tblHeader w:val="false"/>
        </w:trPr>
        <w:tc>
          <w:tcPr>
            <w:tcW w:type="dxa" w:w="173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Rule-based</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15 sentences it was written from</w:t>
            </w:r>
          </w:p>
        </w:tc>
        <w:tc>
          <w:tcPr>
            <w:tcW w:type="dxa" w:w="230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93.3% dimension; 80.0% full</w:t>
            </w:r>
          </w:p>
        </w:tc>
        <w:tc>
          <w:tcPr>
            <w:tcW w:type="dxa" w:w="246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Fit to its own sentences</w:t>
            </w:r>
          </w:p>
        </w:tc>
      </w:tr>
      <w:tr>
        <w:trPr>
          <w:cantSplit/>
          <w:tblHeader w:val="false"/>
        </w:trPr>
        <w:tc>
          <w:tcPr>
            <w:tcW w:type="dxa" w:w="173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Rule-based</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25 unseen sentences</w:t>
            </w:r>
          </w:p>
        </w:tc>
        <w:tc>
          <w:tcPr>
            <w:tcW w:type="dxa" w:w="230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32.0% dimension; 28.0% full</w:t>
            </w:r>
          </w:p>
        </w:tc>
        <w:tc>
          <w:tcPr>
            <w:tcW w:type="dxa" w:w="246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Small sample</w:t>
            </w:r>
          </w:p>
        </w:tc>
      </w:tr>
      <w:tr>
        <w:trPr>
          <w:cantSplit/>
          <w:tblHeader w:val="false"/>
        </w:trPr>
        <w:tc>
          <w:tcPr>
            <w:tcW w:type="dxa" w:w="173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TF-IDF similarity</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25 unseen sentences</w:t>
            </w:r>
          </w:p>
        </w:tc>
        <w:tc>
          <w:tcPr>
            <w:tcW w:type="dxa" w:w="230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28.0%</w:t>
            </w:r>
          </w:p>
        </w:tc>
        <w:tc>
          <w:tcPr>
            <w:tcW w:type="dxa" w:w="246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15 training sentences across 9 categories</w:t>
            </w:r>
          </w:p>
        </w:tc>
      </w:tr>
      <w:tr>
        <w:trPr>
          <w:cantSplit/>
          <w:tblHeader w:val="false"/>
        </w:trPr>
        <w:tc>
          <w:tcPr>
            <w:tcW w:type="dxa" w:w="173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LLM zero-shot</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25 unseen sentences</w:t>
            </w:r>
          </w:p>
        </w:tc>
        <w:tc>
          <w:tcPr>
            <w:tcW w:type="dxa" w:w="230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96.0% dimension (24 of 25)</w:t>
            </w:r>
          </w:p>
        </w:tc>
        <w:tc>
          <w:tcPr>
            <w:tcW w:type="dxa" w:w="246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Single annotator; dimension only, not thresholds</w:t>
            </w:r>
          </w:p>
        </w:tc>
      </w:tr>
    </w:tbl>
    <w:p>
      <w:pPr>
        <w:spacing w:after="200"/>
      </w:pPr>
    </w:p>
    <w:p>
      <w:pPr>
        <w:spacing w:after="160" w:line="360"/>
        <w:jc w:val="both"/>
      </w:pPr>
      <w:r>
        <w:rPr>
          <w:rFonts w:ascii="Times New Roman" w:cs="Times New Roman" w:eastAsia="Times New Roman" w:hAnsi="Times New Roman"/>
          <w:sz w:val="24"/>
          <w:szCs w:val="24"/>
        </w:rPr>
        <w:t xml:space="preserve">Two findings shaped the method adopted in Chapter 3. First, the drop from 80% to 28% shows that rules fitted to a handful of sentences do not generalise, which motivates a trained pipeline and a real corpus. Second, the LLM result cannot serve as evidence of accuracy, because the gold labels were written by a single person and the task covered only the dimension; Chapter 3 therefore uses two independent human annotators and restricts LLMs to a baseline role.</w:t>
      </w:r>
    </w:p>
    <w:p>
      <w:pPr>
        <w:pStyle w:val="Heading2"/>
      </w:pPr>
      <w:r>
        <w:rPr>
          <w:rFonts w:ascii="Times New Roman" w:cs="Times New Roman" w:eastAsia="Times New Roman" w:hAnsi="Times New Roman"/>
          <w:b/>
          <w:bCs/>
          <w:sz w:val="28"/>
          <w:szCs w:val="28"/>
        </w:rPr>
        <w:t xml:space="preserve">4.2 Phase B: QUBO Scenario Selection</w:t>
      </w:r>
    </w:p>
    <w:p>
      <w:pPr>
        <w:spacing w:after="160" w:line="360"/>
        <w:jc w:val="both"/>
      </w:pPr>
      <w:r>
        <w:rPr>
          <w:rFonts w:ascii="Times New Roman" w:cs="Times New Roman" w:eastAsia="Times New Roman" w:hAnsi="Times New Roman"/>
          <w:sz w:val="24"/>
          <w:szCs w:val="24"/>
        </w:rPr>
        <w:t xml:space="preserve">Ten candidate scenarios covering six ODD sub-dimensions were formulated as a QUBO with terms for effectiveness, pairwise diversity and a target of four scenarios, and solved by random sampling (200 trials), a greedy coverage heuristic, simulated annealing and a one-layer QAOA circuit with fixed parameters on a statevector simulator. Without a coverage term, random search, simulated annealing and QAOA converged to the same solution (objective -15.33), covering four of six dimensions, while greedy covered all six with a worse objective (-11.75). The objective did not reward coverage. With a coverage bonus and a redundancy penalty, simulated annealing and QAOA covered five of six dimensions and greedy six of six; QAOA's untuned parameters selected six scenarios instead of four. Variational optimisation of the QAOA parameters was outside the scope of this study and forms part of Phase B.</w:t>
      </w:r>
    </w:p>
    <w:p>
      <w:pPr>
        <w:keepNext/>
        <w:spacing w:after="120" w:before="240"/>
        <w:jc w:val="center"/>
      </w:pPr>
      <w:r>
        <w:rPr>
          <w:rFonts w:ascii="Times New Roman" w:cs="Times New Roman" w:eastAsia="Times New Roman" w:hAnsi="Times New Roman"/>
          <w:b/>
          <w:bCs/>
          <w:sz w:val="22"/>
          <w:szCs w:val="22"/>
        </w:rPr>
        <w:t xml:space="preserve">Table 4.2. Phase B feasibility-study results (10 scenarios, simulators)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69"/>
        <w:gridCol w:w="2865"/>
        <w:gridCol w:w="2866"/>
      </w:tblGrid>
      <w:tr>
        <w:trPr>
          <w:cantSplit/>
          <w:tblHeader/>
        </w:trPr>
        <w:tc>
          <w:tcPr>
            <w:tcW w:type="dxa" w:w="326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Method</w:t>
            </w:r>
          </w:p>
        </w:tc>
        <w:tc>
          <w:tcPr>
            <w:tcW w:type="dxa" w:w="286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Dimensions covered (no coverage term)</w:t>
            </w:r>
          </w:p>
        </w:tc>
        <w:tc>
          <w:tcPr>
            <w:tcW w:type="dxa" w:w="286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r>
              <w:rPr>
                <w:rFonts w:ascii="Times New Roman" w:cs="Times New Roman" w:eastAsia="Times New Roman" w:hAnsi="Times New Roman"/>
                <w:b/>
                <w:bCs/>
                <w:sz w:val="20"/>
                <w:szCs w:val="20"/>
              </w:rPr>
              <w:t xml:space="preserve">Dimensions covered (with coverage term)</w:t>
            </w:r>
          </w:p>
        </w:tc>
      </w:tr>
      <w:tr>
        <w:trPr>
          <w:cantSplit/>
          <w:tblHeader w:val="false"/>
        </w:trPr>
        <w:tc>
          <w:tcPr>
            <w:tcW w:type="dxa" w:w="326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Random sampling (200 trials)</w:t>
            </w:r>
          </w:p>
        </w:tc>
        <w:tc>
          <w:tcPr>
            <w:tcW w:type="dxa" w:w="286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4 of 6</w:t>
            </w:r>
          </w:p>
        </w:tc>
        <w:tc>
          <w:tcPr>
            <w:tcW w:type="dxa" w:w="286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4 of 6</w:t>
            </w:r>
          </w:p>
        </w:tc>
      </w:tr>
      <w:tr>
        <w:trPr>
          <w:cantSplit/>
          <w:tblHeader w:val="false"/>
        </w:trPr>
        <w:tc>
          <w:tcPr>
            <w:tcW w:type="dxa" w:w="326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Greedy coverage heuristic</w:t>
            </w:r>
          </w:p>
        </w:tc>
        <w:tc>
          <w:tcPr>
            <w:tcW w:type="dxa" w:w="286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6 of 6</w:t>
            </w:r>
          </w:p>
        </w:tc>
        <w:tc>
          <w:tcPr>
            <w:tcW w:type="dxa" w:w="286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6 of 6</w:t>
            </w:r>
          </w:p>
        </w:tc>
      </w:tr>
      <w:tr>
        <w:trPr>
          <w:cantSplit/>
          <w:tblHeader w:val="false"/>
        </w:trPr>
        <w:tc>
          <w:tcPr>
            <w:tcW w:type="dxa" w:w="326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Simulated annealing</w:t>
            </w:r>
          </w:p>
        </w:tc>
        <w:tc>
          <w:tcPr>
            <w:tcW w:type="dxa" w:w="286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4 of 6</w:t>
            </w:r>
          </w:p>
        </w:tc>
        <w:tc>
          <w:tcPr>
            <w:tcW w:type="dxa" w:w="286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5 of 6</w:t>
            </w:r>
          </w:p>
        </w:tc>
      </w:tr>
      <w:tr>
        <w:trPr>
          <w:cantSplit/>
          <w:tblHeader w:val="false"/>
        </w:trPr>
        <w:tc>
          <w:tcPr>
            <w:tcW w:type="dxa" w:w="326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QAOA, 1 layer, fixed parameters</w:t>
            </w:r>
          </w:p>
        </w:tc>
        <w:tc>
          <w:tcPr>
            <w:tcW w:type="dxa" w:w="286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4 of 6</w:t>
            </w:r>
          </w:p>
        </w:tc>
        <w:tc>
          <w:tcPr>
            <w:tcW w:type="dxa" w:w="286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5 of 6 (selected 6 scenarios, target 4)</w:t>
            </w:r>
          </w:p>
        </w:tc>
      </w:tr>
    </w:tbl>
    <w:p>
      <w:pPr>
        <w:spacing w:after="200"/>
      </w:pPr>
    </w:p>
    <w:p>
      <w:pPr>
        <w:spacing w:after="160" w:line="360"/>
        <w:jc w:val="both"/>
      </w:pPr>
      <w:r>
        <w:rPr>
          <w:rFonts w:ascii="Times New Roman" w:cs="Times New Roman" w:eastAsia="Times New Roman" w:hAnsi="Times New Roman"/>
          <w:sz w:val="24"/>
          <w:szCs w:val="24"/>
        </w:rPr>
        <w:t xml:space="preserve">The feasibility study supports no claim of quantum advantage. It shows that the formulation must reward coverage explicitly and that QAOA parameters must be tuned, both of which are built into Phase B.</w:t>
      </w:r>
    </w:p>
    <w:p>
      <w:r>
        <w:br w:type="page"/>
      </w:r>
    </w:p>
    <w:p>
      <w:pPr>
        <w:pStyle w:val="Heading1"/>
      </w:pPr>
      <w:r>
        <w:rPr>
          <w:rFonts w:ascii="Times New Roman" w:cs="Times New Roman" w:eastAsia="Times New Roman" w:hAnsi="Times New Roman"/>
          <w:b/>
          <w:bCs/>
          <w:sz w:val="32"/>
          <w:szCs w:val="32"/>
        </w:rPr>
        <w:t xml:space="preserve">References</w:t>
      </w:r>
    </w:p>
    <w:p>
      <w:pPr>
        <w:spacing w:after="100"/>
        <w:ind w:left="567" w:hanging="567"/>
        <w:jc w:val="left"/>
      </w:pPr>
      <w:r>
        <w:rPr>
          <w:rFonts w:ascii="Times New Roman" w:cs="Times New Roman" w:eastAsia="Times New Roman" w:hAnsi="Times New Roman"/>
          <w:sz w:val="22"/>
          <w:szCs w:val="22"/>
        </w:rPr>
        <w:t xml:space="preserve">[1]	National Highway Traffic Safety Administration, Office of Defects Investigation, "ODI resume: Engineering analysis EA26002," Mar. 18, 2026. [Online]. Available: https://static.nhtsa.gov/odi/inv/2026/INOA-EA26002-10023.pdf</w:t>
      </w:r>
    </w:p>
    <w:p>
      <w:pPr>
        <w:spacing w:after="100"/>
        <w:ind w:left="567" w:hanging="567"/>
        <w:jc w:val="left"/>
      </w:pPr>
      <w:r>
        <w:rPr>
          <w:rFonts w:ascii="Times New Roman" w:cs="Times New Roman" w:eastAsia="Times New Roman" w:hAnsi="Times New Roman"/>
          <w:sz w:val="22"/>
          <w:szCs w:val="22"/>
        </w:rPr>
        <w:t xml:space="preserve">[2]	Commission Implementing Regulation (EU) 2022/1426 of 5 August 2022 laying down rules for the application of Regulation (EU) 2019/2144 as regards uniform procedures and technical specifications for the type-approval of the automated driving system (ADS) of fully automated vehicles, Off. J. Eur. Union, 2022.</w:t>
      </w:r>
    </w:p>
    <w:p>
      <w:pPr>
        <w:spacing w:after="100"/>
        <w:ind w:left="567" w:hanging="567"/>
        <w:jc w:val="left"/>
      </w:pPr>
      <w:r>
        <w:rPr>
          <w:rFonts w:ascii="Times New Roman" w:cs="Times New Roman" w:eastAsia="Times New Roman" w:hAnsi="Times New Roman"/>
          <w:sz w:val="22"/>
          <w:szCs w:val="22"/>
        </w:rPr>
        <w:t xml:space="preserve">[3]	"Formalization of operational domain and operational design domain for automated vehicles," arXiv:2408.14481, 2024.</w:t>
      </w:r>
    </w:p>
    <w:p>
      <w:pPr>
        <w:spacing w:after="100"/>
        <w:ind w:left="567" w:hanging="567"/>
        <w:jc w:val="left"/>
      </w:pPr>
      <w:r>
        <w:rPr>
          <w:rFonts w:ascii="Times New Roman" w:cs="Times New Roman" w:eastAsia="Times New Roman" w:hAnsi="Times New Roman"/>
          <w:sz w:val="22"/>
          <w:szCs w:val="22"/>
        </w:rPr>
        <w:t xml:space="preserve">[4]	M. Skoglund, F. Warg, A. Thorsén, H. Hansson, and S. Punnekkat, "Formalizing operational design domains with the Pkl language," arXiv:2509.02221, 2025.</w:t>
      </w:r>
    </w:p>
    <w:p>
      <w:pPr>
        <w:spacing w:after="100"/>
        <w:ind w:left="567" w:hanging="567"/>
        <w:jc w:val="left"/>
      </w:pPr>
      <w:r>
        <w:rPr>
          <w:rFonts w:ascii="Times New Roman" w:cs="Times New Roman" w:eastAsia="Times New Roman" w:hAnsi="Times New Roman"/>
          <w:sz w:val="22"/>
          <w:szCs w:val="22"/>
        </w:rPr>
        <w:t xml:space="preserve">[5]	K. Elmaaroufi, D. Shanker, A. Cismaru, M. Vazquez-Chanlatte, A. Sangiovanni-Vincentelli, M. Zaharia, and S. A. Seshia, "Generating probabilistic scenario programs from natural language," arXiv:2405.03709, 2024.</w:t>
      </w:r>
    </w:p>
    <w:p>
      <w:pPr>
        <w:spacing w:after="100"/>
        <w:ind w:left="567" w:hanging="567"/>
        <w:jc w:val="left"/>
      </w:pPr>
      <w:r>
        <w:rPr>
          <w:rFonts w:ascii="Times New Roman" w:cs="Times New Roman" w:eastAsia="Times New Roman" w:hAnsi="Times New Roman"/>
          <w:sz w:val="22"/>
          <w:szCs w:val="22"/>
        </w:rPr>
        <w:t xml:space="preserve">[6]	Y. Deng, J. Yao, Z. Tu, M. Zhang, X. Zheng, and T. Zhang, "TARGET: Automated scenario generation from traffic rules for testing autonomous vehicles," arXiv:2305.06018, 2023.</w:t>
      </w:r>
    </w:p>
    <w:p>
      <w:pPr>
        <w:spacing w:after="100"/>
        <w:ind w:left="567" w:hanging="567"/>
        <w:jc w:val="left"/>
      </w:pPr>
      <w:r>
        <w:rPr>
          <w:rFonts w:ascii="Times New Roman" w:cs="Times New Roman" w:eastAsia="Times New Roman" w:hAnsi="Times New Roman"/>
          <w:sz w:val="22"/>
          <w:szCs w:val="22"/>
        </w:rPr>
        <w:t xml:space="preserve">[7]	A. Nayak, H. P. Timmapathini, V. Murali, K. Ponnalagu, V. G. Venkoparao, and A. Post, "Req2Spec: Transforming software requirements into formal specifications using natural language processing," in Requirements Engineering: Foundation for Software Quality (REFSQ 2022), Lecture Notes in Computer Science, vol. 13216. Cham, Switzerland: Springer, 2022, pp. 87-95, doi: 10.1007/978-3-030-98464-9_8.</w:t>
      </w:r>
    </w:p>
    <w:p>
      <w:pPr>
        <w:spacing w:after="100"/>
        <w:ind w:left="567" w:hanging="567"/>
        <w:jc w:val="left"/>
      </w:pPr>
      <w:r>
        <w:rPr>
          <w:rFonts w:ascii="Times New Roman" w:cs="Times New Roman" w:eastAsia="Times New Roman" w:hAnsi="Times New Roman"/>
          <w:sz w:val="22"/>
          <w:szCs w:val="22"/>
        </w:rPr>
        <w:t xml:space="preserve">[8]	D. Giannakopoulou, T. Pressburger, A. Mavridou, and J. Schumann, "Automated formalization of structured natural language requirements," Inf. Softw. Technol., vol. 137, Art. no. 106590, 2021, doi: 10.1016/j.infsof.2021.106590.</w:t>
      </w:r>
    </w:p>
    <w:p>
      <w:pPr>
        <w:spacing w:after="100"/>
        <w:ind w:left="567" w:hanging="567"/>
        <w:jc w:val="left"/>
      </w:pPr>
      <w:r>
        <w:rPr>
          <w:rFonts w:ascii="Times New Roman" w:cs="Times New Roman" w:eastAsia="Times New Roman" w:hAnsi="Times New Roman"/>
          <w:sz w:val="22"/>
          <w:szCs w:val="22"/>
        </w:rPr>
        <w:t xml:space="preserve">[9]	F. Klück, Y. Li, J. Tao, and F. Wotawa, "An empirical comparison of combinatorial testing and search-based testing in the context of automated and autonomous driving systems," Inf. Softw. Technol., vol. 160, Art. no. 107225, 2023, doi: 10.1016/j.infsof.2023.107225.</w:t>
      </w:r>
    </w:p>
    <w:p>
      <w:pPr>
        <w:spacing w:after="100"/>
        <w:ind w:left="567" w:hanging="567"/>
        <w:jc w:val="left"/>
      </w:pPr>
      <w:r>
        <w:rPr>
          <w:rFonts w:ascii="Times New Roman" w:cs="Times New Roman" w:eastAsia="Times New Roman" w:hAnsi="Times New Roman"/>
          <w:sz w:val="22"/>
          <w:szCs w:val="22"/>
        </w:rPr>
        <w:t xml:space="preserve">[10]	Taxonomy and Definitions for Terms Related to Driving Automation Systems for On-Road Motor Vehicles, SAE J3016_202104, SAE International, 2021.</w:t>
      </w:r>
    </w:p>
    <w:p>
      <w:pPr>
        <w:spacing w:after="100"/>
        <w:ind w:left="567" w:hanging="567"/>
        <w:jc w:val="left"/>
      </w:pPr>
      <w:r>
        <w:rPr>
          <w:rFonts w:ascii="Times New Roman" w:cs="Times New Roman" w:eastAsia="Times New Roman" w:hAnsi="Times New Roman"/>
          <w:sz w:val="22"/>
          <w:szCs w:val="22"/>
        </w:rPr>
        <w:t xml:space="preserve">[11]	Road Vehicles - Functional Safety, ISO 26262:2018, International Organization for Standardization, Geneva, Switzerland, 2018.</w:t>
      </w:r>
    </w:p>
    <w:p>
      <w:pPr>
        <w:spacing w:after="100"/>
        <w:ind w:left="567" w:hanging="567"/>
        <w:jc w:val="left"/>
      </w:pPr>
      <w:r>
        <w:rPr>
          <w:rFonts w:ascii="Times New Roman" w:cs="Times New Roman" w:eastAsia="Times New Roman" w:hAnsi="Times New Roman"/>
          <w:sz w:val="22"/>
          <w:szCs w:val="22"/>
        </w:rPr>
        <w:t xml:space="preserve">[12]	Road Vehicles - Safety of the Intended Functionality, ISO 21448:2022, International Organization for Standardization, Geneva, Switzerland, 2022.</w:t>
      </w:r>
    </w:p>
    <w:p>
      <w:pPr>
        <w:spacing w:after="100"/>
        <w:ind w:left="567" w:hanging="567"/>
        <w:jc w:val="left"/>
      </w:pPr>
      <w:r>
        <w:rPr>
          <w:rFonts w:ascii="Times New Roman" w:cs="Times New Roman" w:eastAsia="Times New Roman" w:hAnsi="Times New Roman"/>
          <w:sz w:val="22"/>
          <w:szCs w:val="22"/>
        </w:rPr>
        <w:t xml:space="preserve">[13]	S. Mitra, C. Păsăreanu, P. Prabhakar, S. A. Seshia, R. Mangal, Y. Li, C. Watson, D. Gopinath, and H. Yu, "Formal verification techniques for vision-based autonomous systems - A survey," in Principles of Verification: Cycling the Probabilistic Landscape, Lecture Notes in Computer Science, vol. 15262. Cham, Switzerland: Springer, 2025, doi: 10.1007/978-3-031-75778-5_5.</w:t>
      </w:r>
    </w:p>
    <w:p>
      <w:pPr>
        <w:spacing w:after="100"/>
        <w:ind w:left="567" w:hanging="567"/>
        <w:jc w:val="left"/>
      </w:pPr>
      <w:r>
        <w:rPr>
          <w:rFonts w:ascii="Times New Roman" w:cs="Times New Roman" w:eastAsia="Times New Roman" w:hAnsi="Times New Roman"/>
          <w:sz w:val="22"/>
          <w:szCs w:val="22"/>
        </w:rPr>
        <w:t xml:space="preserve">[14]	S. Riedmaier, T. Ponn, D. Ludwig, B. Schick, and F. Diermeyer, "Survey on scenario-based safety assessment of automated vehicles," IEEE Access, vol. 8, pp. 87456-87477, 2020, doi: 10.1109/ACCESS.2020.2993730.</w:t>
      </w:r>
    </w:p>
    <w:p>
      <w:pPr>
        <w:spacing w:after="100"/>
        <w:ind w:left="567" w:hanging="567"/>
        <w:jc w:val="left"/>
      </w:pPr>
      <w:r>
        <w:rPr>
          <w:rFonts w:ascii="Times New Roman" w:cs="Times New Roman" w:eastAsia="Times New Roman" w:hAnsi="Times New Roman"/>
          <w:sz w:val="22"/>
          <w:szCs w:val="22"/>
        </w:rPr>
        <w:t xml:space="preserve">[15]	C. Amersbach and H. Winner, "Defining required and feasible test coverage for scenario-based validation of highly automated vehicles," in Proc. 22nd IEEE Intelligent Transportation Systems Conf. (ITSC), Auckland, New Zealand, 2019.</w:t>
      </w:r>
    </w:p>
    <w:p>
      <w:pPr>
        <w:spacing w:after="100"/>
        <w:ind w:left="567" w:hanging="567"/>
        <w:jc w:val="left"/>
      </w:pPr>
      <w:r>
        <w:rPr>
          <w:rFonts w:ascii="Times New Roman" w:cs="Times New Roman" w:eastAsia="Times New Roman" w:hAnsi="Times New Roman"/>
          <w:sz w:val="22"/>
          <w:szCs w:val="22"/>
        </w:rPr>
        <w:t xml:space="preserve">[16]	H. Araujo, X. Wang, M. Mousavi, and S. Ali, "Using quantum annealing to generate test cases for cyber-physical systems," arXiv:2504.21684, 2025.</w:t>
      </w:r>
    </w:p>
    <w:p>
      <w:pPr>
        <w:spacing w:after="100"/>
        <w:ind w:left="567" w:hanging="567"/>
        <w:jc w:val="left"/>
      </w:pPr>
      <w:r>
        <w:rPr>
          <w:rFonts w:ascii="Times New Roman" w:cs="Times New Roman" w:eastAsia="Times New Roman" w:hAnsi="Times New Roman"/>
          <w:sz w:val="22"/>
          <w:szCs w:val="22"/>
        </w:rPr>
        <w:t xml:space="preserve">[17]	A. Trovato, M. Beseda, and D. Di Nucci, "A preliminary investigation on the usage of quantum approximate optimization algorithms for test case selection," arXiv:2504.18955, 2025.</w:t>
      </w:r>
    </w:p>
    <w:p>
      <w:pPr>
        <w:spacing w:after="100"/>
        <w:ind w:left="567" w:hanging="567"/>
        <w:jc w:val="left"/>
      </w:pPr>
      <w:r>
        <w:rPr>
          <w:rFonts w:ascii="Times New Roman" w:cs="Times New Roman" w:eastAsia="Times New Roman" w:hAnsi="Times New Roman"/>
          <w:sz w:val="22"/>
          <w:szCs w:val="22"/>
        </w:rPr>
        <w:t xml:space="preserve">[18]	X. Wang, A. Muqeet, T. Yue, S. Ali, and P. Arcaini, "Test case minimization with quantum annealers," ACM Trans. Softw. Eng. Methodol., doi: 10.1145/3680467. arXiv:2308.05505.</w:t>
      </w:r>
    </w:p>
    <w:p>
      <w:pPr>
        <w:spacing w:after="100"/>
        <w:ind w:left="567" w:hanging="567"/>
        <w:jc w:val="left"/>
      </w:pPr>
      <w:r>
        <w:rPr>
          <w:rFonts w:ascii="Times New Roman" w:cs="Times New Roman" w:eastAsia="Times New Roman" w:hAnsi="Times New Roman"/>
          <w:sz w:val="22"/>
          <w:szCs w:val="22"/>
        </w:rPr>
        <w:t xml:space="preserve">[19]	A. Trovato, M. De Stefano, F. Pecorelli, D. Di Nucci, and A. De Lucia, "Reformulating regression test suite optimization using quantum annealing - an empirical study," Int. J. Softw. Tools Technol. Transf., doi: 10.1007/s10009-024-00775-w. arXiv:2411.15963.</w:t>
      </w:r>
    </w:p>
    <w:p>
      <w:pPr>
        <w:spacing w:after="100"/>
        <w:ind w:left="567" w:hanging="567"/>
        <w:jc w:val="left"/>
      </w:pPr>
      <w:r>
        <w:rPr>
          <w:rFonts w:ascii="Times New Roman" w:cs="Times New Roman" w:eastAsia="Times New Roman" w:hAnsi="Times New Roman"/>
          <w:sz w:val="22"/>
          <w:szCs w:val="22"/>
        </w:rPr>
        <w:t xml:space="preserve">[20]	National Transportation Safety Board, "NTSB finds automation overreliance contributed to two fatal Ford BlueCruise crashes," Press Release NR20260331, Mar. 31, 2026. [Online]. Available: https://www.ntsb.gov/news/press-releases/Pages/NR20260331.aspx</w:t>
      </w:r>
    </w:p>
    <w:p>
      <w:pPr>
        <w:spacing w:after="100"/>
        <w:ind w:left="567" w:hanging="567"/>
        <w:jc w:val="left"/>
      </w:pPr>
      <w:r>
        <w:rPr>
          <w:rFonts w:ascii="Times New Roman" w:cs="Times New Roman" w:eastAsia="Times New Roman" w:hAnsi="Times New Roman"/>
          <w:sz w:val="22"/>
          <w:szCs w:val="22"/>
        </w:rPr>
        <w:t xml:space="preserve">[21]	National Transportation Safety Board, "Investigation HWY26FH008: Automated vehicle strikes pedestrian in school zone, Santa Monica, California," Jan. 23, 2026. [Online]. Available: https://www.ntsb.gov/investigations/Pages/HWY26FH008.aspx</w:t>
      </w:r>
    </w:p>
    <w:p>
      <w:pPr>
        <w:spacing w:after="100"/>
        <w:ind w:left="567" w:hanging="567"/>
        <w:jc w:val="left"/>
      </w:pPr>
      <w:r>
        <w:rPr>
          <w:rFonts w:ascii="Times New Roman" w:cs="Times New Roman" w:eastAsia="Times New Roman" w:hAnsi="Times New Roman"/>
          <w:sz w:val="22"/>
          <w:szCs w:val="22"/>
        </w:rPr>
        <w:t xml:space="preserve">[22]	Waymo LLC, "Part 573 safety recall report 25E-084," National Highway Traffic Safety Administration, Dec. 2025. [Online]. Available: https://static.nhtsa.gov/odi/rcl/2025/RCLRPT-25E084-7732.pdf</w:t>
      </w:r>
    </w:p>
    <w:p>
      <w:pPr>
        <w:spacing w:after="100"/>
        <w:ind w:left="567" w:hanging="567"/>
        <w:jc w:val="left"/>
      </w:pPr>
      <w:r>
        <w:rPr>
          <w:rFonts w:ascii="Times New Roman" w:cs="Times New Roman" w:eastAsia="Times New Roman" w:hAnsi="Times New Roman"/>
          <w:sz w:val="22"/>
          <w:szCs w:val="22"/>
        </w:rPr>
        <w:t xml:space="preserve">[23]	National Highway Traffic Safety Administration, "Consent order: Cruise crash reporting," Press release, Sep. 30, 2024. [Online]. Available: https://www.nhtsa.gov/press-releases/consent-order-cruise-crash-reporting</w:t>
      </w:r>
    </w:p>
    <w:p>
      <w:pPr>
        <w:spacing w:after="100"/>
        <w:ind w:left="567" w:hanging="567"/>
        <w:jc w:val="left"/>
      </w:pPr>
      <w:r>
        <w:rPr>
          <w:rFonts w:ascii="Times New Roman" w:cs="Times New Roman" w:eastAsia="Times New Roman" w:hAnsi="Times New Roman"/>
          <w:sz w:val="22"/>
          <w:szCs w:val="22"/>
        </w:rPr>
        <w:t xml:space="preserve">[24]	J. Stempel and A. Roy, "Tesla ordered by Florida jury to pay $243 million in fatal Autopilot crash," Reuters, Aug. 1, 2025.</w:t>
      </w:r>
    </w:p>
    <w:p>
      <w:pPr>
        <w:spacing w:after="100"/>
        <w:ind w:left="567" w:hanging="567"/>
        <w:jc w:val="left"/>
      </w:pPr>
      <w:r>
        <w:rPr>
          <w:rFonts w:ascii="Times New Roman" w:cs="Times New Roman" w:eastAsia="Times New Roman" w:hAnsi="Times New Roman"/>
          <w:sz w:val="22"/>
          <w:szCs w:val="22"/>
        </w:rPr>
        <w:t xml:space="preserve">[25]	B. Kitchenham and S. Charters, "Guidelines for performing systematic literature reviews in software engineering," Keele Univ. and Durham Univ., Tech. Rep. EBSE-2007-01, 2007.</w:t>
      </w:r>
    </w:p>
    <w:p>
      <w:pPr>
        <w:spacing w:after="100"/>
        <w:ind w:left="567" w:hanging="567"/>
        <w:jc w:val="left"/>
      </w:pPr>
      <w:r>
        <w:rPr>
          <w:rFonts w:ascii="Times New Roman" w:cs="Times New Roman" w:eastAsia="Times New Roman" w:hAnsi="Times New Roman"/>
          <w:sz w:val="22"/>
          <w:szCs w:val="22"/>
        </w:rPr>
        <w:t xml:space="preserve">[26]	K. Petersen, S. Vakkalanka, and L. Kuzniarz, "Guidelines for conducting systematic mapping studies in software engineering: An update," Inf. Softw. Technol., vol. 64, pp. 1-18, 2015.</w:t>
      </w:r>
    </w:p>
    <w:p>
      <w:pPr>
        <w:spacing w:after="100"/>
        <w:ind w:left="567" w:hanging="567"/>
        <w:jc w:val="left"/>
      </w:pPr>
      <w:r>
        <w:rPr>
          <w:rFonts w:ascii="Times New Roman" w:cs="Times New Roman" w:eastAsia="Times New Roman" w:hAnsi="Times New Roman"/>
          <w:sz w:val="22"/>
          <w:szCs w:val="22"/>
        </w:rPr>
        <w:t xml:space="preserve">[27]	C. Wohlin, "Guidelines for snowballing in systematic literature studies and a replication in software engineering," in Proc. 18th Int. Conf. Evaluation and Assessment in Software Engineering (EASE), 2014, doi: 10.1145/2601248.2601268.</w:t>
      </w:r>
    </w:p>
    <w:p>
      <w:pPr>
        <w:spacing w:after="100"/>
        <w:ind w:left="567" w:hanging="567"/>
        <w:jc w:val="left"/>
      </w:pPr>
      <w:r>
        <w:rPr>
          <w:rFonts w:ascii="Times New Roman" w:cs="Times New Roman" w:eastAsia="Times New Roman" w:hAnsi="Times New Roman"/>
          <w:sz w:val="22"/>
          <w:szCs w:val="22"/>
        </w:rPr>
        <w:t xml:space="preserve">[28]	E. M. Clarke, "The birth of model checking," in 25 Years of Model Checking, Lecture Notes in Computer Science, vol. 5000. Berlin, Germany: Springer, 2008, pp. 1-26, doi: 10.1007/978-3-540-69850-0_1.</w:t>
      </w:r>
    </w:p>
    <w:p>
      <w:pPr>
        <w:spacing w:after="100"/>
        <w:ind w:left="567" w:hanging="567"/>
        <w:jc w:val="left"/>
      </w:pPr>
      <w:r>
        <w:rPr>
          <w:rFonts w:ascii="Times New Roman" w:cs="Times New Roman" w:eastAsia="Times New Roman" w:hAnsi="Times New Roman"/>
          <w:sz w:val="22"/>
          <w:szCs w:val="22"/>
        </w:rPr>
        <w:t xml:space="preserve">[29]	M. Luckcuck, M. Farrell, L. A. Dennis, C. Dixon, and M. Fisher, "Formal specification and verification of autonomous robotic systems: A survey," ACM Comput. Surv., vol. 52, no. 5, pp. 1-41, 2019, doi: 10.1145/3342355.</w:t>
      </w:r>
    </w:p>
    <w:p>
      <w:pPr>
        <w:spacing w:after="100"/>
        <w:ind w:left="567" w:hanging="567"/>
        <w:jc w:val="left"/>
      </w:pPr>
      <w:r>
        <w:rPr>
          <w:rFonts w:ascii="Times New Roman" w:cs="Times New Roman" w:eastAsia="Times New Roman" w:hAnsi="Times New Roman"/>
          <w:sz w:val="22"/>
          <w:szCs w:val="22"/>
        </w:rPr>
        <w:t xml:space="preserve">[30]	C. Menghi, C. Tsigkanos, P. Pelliccione, C. Ghezzi, and T. Berger, "Specification patterns for robotic missions," IEEE Trans. Softw. Eng., vol. 47, no. 10, pp. 2208-2224, 2021 (IEEE Xplore document 8859226).</w:t>
      </w:r>
    </w:p>
    <w:p>
      <w:pPr>
        <w:spacing w:after="100"/>
        <w:ind w:left="567" w:hanging="567"/>
        <w:jc w:val="left"/>
      </w:pPr>
      <w:r>
        <w:rPr>
          <w:rFonts w:ascii="Times New Roman" w:cs="Times New Roman" w:eastAsia="Times New Roman" w:hAnsi="Times New Roman"/>
          <w:sz w:val="22"/>
          <w:szCs w:val="22"/>
        </w:rPr>
        <w:t xml:space="preserve">[31]	L. Armborst, D. Beyer, M. Huisman, and M. Lingsch-Rosenfeld, "AutoSV-Annotator: Integrating deductive and automatic software verification," in Formal Methods for Industrial Critical Systems (FMICS 2025), Lecture Notes in Computer Science, vol. 16040. Cham, Switzerland: Springer, 2025, pp. 59-77, doi: 10.1007/978-3-032-00942-5_4.</w:t>
      </w:r>
    </w:p>
    <w:p>
      <w:pPr>
        <w:spacing w:after="100"/>
        <w:ind w:left="567" w:hanging="567"/>
        <w:jc w:val="left"/>
      </w:pPr>
      <w:r>
        <w:rPr>
          <w:rFonts w:ascii="Times New Roman" w:cs="Times New Roman" w:eastAsia="Times New Roman" w:hAnsi="Times New Roman"/>
          <w:sz w:val="22"/>
          <w:szCs w:val="22"/>
        </w:rPr>
        <w:t xml:space="preserve">[32]	M. Kodetzki, T. Bordis, T. Runge, and I. Schaefer, "Partial proofs to optimize deductive verification of feature-oriented software product lines," in Proc. 18th Int. Working Conf. Variability Modelling of Software-Intensive Systems (VaMoS), 2024, pp. 17-26, doi: 10.1145/3634713.3634714.</w:t>
      </w:r>
    </w:p>
    <w:p>
      <w:pPr>
        <w:spacing w:after="100"/>
        <w:ind w:left="567" w:hanging="567"/>
        <w:jc w:val="left"/>
      </w:pPr>
      <w:r>
        <w:rPr>
          <w:rFonts w:ascii="Times New Roman" w:cs="Times New Roman" w:eastAsia="Times New Roman" w:hAnsi="Times New Roman"/>
          <w:sz w:val="22"/>
          <w:szCs w:val="22"/>
        </w:rPr>
        <w:t xml:space="preserve">[33]	L. S. Brugger, X. Denis, and P. Müller, "Toward practical deductive verification: Insights from a qualitative survey in industry and academia," arXiv:2510.20514, 2025.</w:t>
      </w:r>
    </w:p>
    <w:p>
      <w:pPr>
        <w:spacing w:after="100"/>
        <w:ind w:left="567" w:hanging="567"/>
        <w:jc w:val="left"/>
      </w:pPr>
      <w:r>
        <w:rPr>
          <w:rFonts w:ascii="Times New Roman" w:cs="Times New Roman" w:eastAsia="Times New Roman" w:hAnsi="Times New Roman"/>
          <w:sz w:val="22"/>
          <w:szCs w:val="22"/>
        </w:rPr>
        <w:t xml:space="preserve">[34]	R. Hähnle and M. Huisman, "Deductive software verification: From pen-and-paper proofs to industrial tools," in Computing and Software Science, Lecture Notes in Computer Science, vol. 10000. Cham, Switzerland: Springer, 2019, pp. 345-373, doi: 10.1007/978-3-319-91908-9_18.</w:t>
      </w:r>
    </w:p>
    <w:p>
      <w:pPr>
        <w:spacing w:after="100"/>
        <w:ind w:left="567" w:hanging="567"/>
        <w:jc w:val="left"/>
      </w:pPr>
      <w:r>
        <w:rPr>
          <w:rFonts w:ascii="Times New Roman" w:cs="Times New Roman" w:eastAsia="Times New Roman" w:hAnsi="Times New Roman"/>
          <w:sz w:val="22"/>
          <w:szCs w:val="22"/>
        </w:rPr>
        <w:t xml:space="preserve">[35]	D. Beyer and J. Strejček, "Improvements in software verification and witness validation: SV-COMP 2025," in Tools and Algorithms for the Construction and Analysis of Systems (TACAS 2025), Lecture Notes in Computer Science. Cham, Switzerland: Springer, 2025, pp. 151-186, doi: 10.1007/978-3-031-90660-2_9.</w:t>
      </w:r>
    </w:p>
    <w:p>
      <w:pPr>
        <w:spacing w:after="100"/>
        <w:ind w:left="567" w:hanging="567"/>
        <w:jc w:val="left"/>
      </w:pPr>
      <w:r>
        <w:rPr>
          <w:rFonts w:ascii="Times New Roman" w:cs="Times New Roman" w:eastAsia="Times New Roman" w:hAnsi="Times New Roman"/>
          <w:sz w:val="22"/>
          <w:szCs w:val="22"/>
        </w:rPr>
        <w:t xml:space="preserve">[36]	S. Shalev-Shwartz, S. Shammah, and A. Shashua, "On a formal model of safe and scalable self-driving cars," arXiv:1708.06374, 2017.</w:t>
      </w:r>
    </w:p>
    <w:p>
      <w:pPr>
        <w:spacing w:after="100"/>
        <w:ind w:left="567" w:hanging="567"/>
        <w:jc w:val="left"/>
      </w:pPr>
      <w:r>
        <w:rPr>
          <w:rFonts w:ascii="Times New Roman" w:cs="Times New Roman" w:eastAsia="Times New Roman" w:hAnsi="Times New Roman"/>
          <w:sz w:val="22"/>
          <w:szCs w:val="22"/>
        </w:rPr>
        <w:t xml:space="preserve">[37]	Operational Design Domain (ODD) Taxonomy for an Automated Driving System (ADS) - Specification, BSI PAS 1883:2020, British Standards Institution, London, U.K., 2020.</w:t>
      </w:r>
    </w:p>
    <w:p>
      <w:pPr>
        <w:spacing w:after="100"/>
        <w:ind w:left="567" w:hanging="567"/>
        <w:jc w:val="left"/>
      </w:pPr>
      <w:r>
        <w:rPr>
          <w:rFonts w:ascii="Times New Roman" w:cs="Times New Roman" w:eastAsia="Times New Roman" w:hAnsi="Times New Roman"/>
          <w:sz w:val="22"/>
          <w:szCs w:val="22"/>
        </w:rPr>
        <w:t xml:space="preserve">[38]	Road Vehicles - Test Scenarios for Automated Driving Systems - Specification for Operational Design Domain, ISO 34503:2023, International Organization for Standardization, Geneva, Switzerland, 2023.</w:t>
      </w:r>
    </w:p>
    <w:p>
      <w:pPr>
        <w:spacing w:after="100"/>
        <w:ind w:left="567" w:hanging="567"/>
        <w:jc w:val="left"/>
      </w:pPr>
      <w:r>
        <w:rPr>
          <w:rFonts w:ascii="Times New Roman" w:cs="Times New Roman" w:eastAsia="Times New Roman" w:hAnsi="Times New Roman"/>
          <w:sz w:val="22"/>
          <w:szCs w:val="22"/>
        </w:rPr>
        <w:t xml:space="preserve">[39]	ASAM e.V., "ASAM OpenODD, version 1.0.0," Apr. 3, 2025. [Online]. Available: https://publications.pages.asam.net/standards/ASAM_OpenODD/ASAM_OpenODD/latest/specification/00_preface/00_introduction.html</w:t>
      </w:r>
    </w:p>
    <w:p>
      <w:pPr>
        <w:spacing w:after="100"/>
        <w:ind w:left="567" w:hanging="567"/>
        <w:jc w:val="left"/>
      </w:pPr>
      <w:r>
        <w:rPr>
          <w:rFonts w:ascii="Times New Roman" w:cs="Times New Roman" w:eastAsia="Times New Roman" w:hAnsi="Times New Roman"/>
          <w:sz w:val="22"/>
          <w:szCs w:val="22"/>
        </w:rPr>
        <w:t xml:space="preserve">[40]	M. Aguirre Mehlhorn, A. Richter, and Y. A. W. Shardt, "Ruling the operational boundaries: A survey on operational design domains of autonomous driving systems," IFAC-PapersOnLine, vol. 56, no. 2, pp. 2202-2213, 2023, doi: 10.1016/j.ifacol.2023.10.1128.</w:t>
      </w:r>
    </w:p>
    <w:p>
      <w:pPr>
        <w:spacing w:after="100"/>
        <w:ind w:left="567" w:hanging="567"/>
        <w:jc w:val="left"/>
      </w:pPr>
      <w:r>
        <w:rPr>
          <w:rFonts w:ascii="Times New Roman" w:cs="Times New Roman" w:eastAsia="Times New Roman" w:hAnsi="Times New Roman"/>
          <w:sz w:val="22"/>
          <w:szCs w:val="22"/>
        </w:rPr>
        <w:t xml:space="preserve">[41]	H. Xu, Y. Li, H. Qin, Y. Bian, S. Jiang, W. Que, and J. Man, "Ensuring safe operation of autonomous vehicle: A comprehensive survey of operational design condition," Accid. Anal. Prev., vol. 227, Art. no. 108366, 2026, doi: 10.1016/j.aap.2025.108366.</w:t>
      </w:r>
    </w:p>
    <w:p>
      <w:pPr>
        <w:spacing w:after="100"/>
        <w:ind w:left="567" w:hanging="567"/>
        <w:jc w:val="left"/>
      </w:pPr>
      <w:r>
        <w:rPr>
          <w:rFonts w:ascii="Times New Roman" w:cs="Times New Roman" w:eastAsia="Times New Roman" w:hAnsi="Times New Roman"/>
          <w:sz w:val="22"/>
          <w:szCs w:val="22"/>
        </w:rPr>
        <w:t xml:space="preserve">[42]	D. Hillen, M. Lorenz, J. Reich, R. Adler, P. Wolf, S. A. Zafar, and A. Salvi, "Navigating the landscape of operational design domains: A comprehensive mapping study," Next Res., vol. 2, no. 4, Art. no. 101036, 2025, doi: 10.1016/j.nexres.2025.101036.</w:t>
      </w:r>
    </w:p>
    <w:p>
      <w:pPr>
        <w:spacing w:after="100"/>
        <w:ind w:left="567" w:hanging="567"/>
        <w:jc w:val="left"/>
      </w:pPr>
      <w:r>
        <w:rPr>
          <w:rFonts w:ascii="Times New Roman" w:cs="Times New Roman" w:eastAsia="Times New Roman" w:hAnsi="Times New Roman"/>
          <w:sz w:val="22"/>
          <w:szCs w:val="22"/>
        </w:rPr>
        <w:t xml:space="preserve">[43]	M. Ito, "ODD description methods for automated driving vehicle and verifiability for safety," J. Univers. Comput. Sci., vol. 27, no. 8, pp. 796-810, 2021, doi: 10.3897/jucs.72333.</w:t>
      </w:r>
    </w:p>
    <w:p>
      <w:pPr>
        <w:spacing w:after="100"/>
        <w:ind w:left="567" w:hanging="567"/>
        <w:jc w:val="left"/>
      </w:pPr>
      <w:r>
        <w:rPr>
          <w:rFonts w:ascii="Times New Roman" w:cs="Times New Roman" w:eastAsia="Times New Roman" w:hAnsi="Times New Roman"/>
          <w:sz w:val="22"/>
          <w:szCs w:val="22"/>
        </w:rPr>
        <w:t xml:space="preserve">[44]	L. Mendiboure, M. L. Benzagouta, D. Gruyer, T. Sylla, M. Adedjouma, and A. Hedhli, "Operational design domain for automated driving systems: Taxonomy definition and application," in Proc. IEEE Intelligent Vehicles Symp. (IV), 2023, doi: 10.1109/IV55152.2023.10186765.</w:t>
      </w:r>
    </w:p>
    <w:p>
      <w:pPr>
        <w:spacing w:after="100"/>
        <w:ind w:left="567" w:hanging="567"/>
        <w:jc w:val="left"/>
      </w:pPr>
      <w:r>
        <w:rPr>
          <w:rFonts w:ascii="Times New Roman" w:cs="Times New Roman" w:eastAsia="Times New Roman" w:hAnsi="Times New Roman"/>
          <w:sz w:val="22"/>
          <w:szCs w:val="22"/>
        </w:rPr>
        <w:t xml:space="preserve">[45]	M. Gyllenhammar, R. Johansson, F. Warg, D. Chen, H.-M. Heyn, M. Sanfridson, J. Söderberg, A. Thorsén, and S. Ursing, "Towards an operational design domain that supports the safety argumentation of an automated driving system," in Proc. 10th European Congress on Embedded Real Time Systems (ERTS), Toulouse, France, 2020.</w:t>
      </w:r>
    </w:p>
    <w:p>
      <w:pPr>
        <w:spacing w:after="100"/>
        <w:ind w:left="567" w:hanging="567"/>
        <w:jc w:val="left"/>
      </w:pPr>
      <w:r>
        <w:rPr>
          <w:rFonts w:ascii="Times New Roman" w:cs="Times New Roman" w:eastAsia="Times New Roman" w:hAnsi="Times New Roman"/>
          <w:sz w:val="22"/>
          <w:szCs w:val="22"/>
        </w:rPr>
        <w:t xml:space="preserve">[46]	C. W. Lee, N. Nayeer, D. E. Garcia, A. Agrawal, and B. Liu, "Identifying the operational design domain for an automated driving system through assessed risk," in Proc. IEEE Intelligent Vehicles Symp. (IV), 2020, pp. 1317-1322, doi: 10.1109/IV47402.2020.9304552.</w:t>
      </w:r>
    </w:p>
    <w:p>
      <w:pPr>
        <w:spacing w:after="100"/>
        <w:ind w:left="567" w:hanging="567"/>
        <w:jc w:val="left"/>
      </w:pPr>
      <w:r>
        <w:rPr>
          <w:rFonts w:ascii="Times New Roman" w:cs="Times New Roman" w:eastAsia="Times New Roman" w:hAnsi="Times New Roman"/>
          <w:sz w:val="22"/>
          <w:szCs w:val="22"/>
        </w:rPr>
        <w:t xml:space="preserve">[47]	H. Torfah, C. Xie, S. Junges, M. Vazquez-Chanlatte, and S. A. Seshia, "Learning monitorable operational design domains for assured autonomy," in Automated Technology for Verification and Analysis (ATVA 2022), Lecture Notes in Computer Science, vol. 13505. Cham, Switzerland: Springer, 2022, pp. 3-22, doi: 10.1007/978-3-031-19992-9_1.</w:t>
      </w:r>
    </w:p>
    <w:p>
      <w:pPr>
        <w:spacing w:after="100"/>
        <w:ind w:left="567" w:hanging="567"/>
        <w:jc w:val="left"/>
      </w:pPr>
      <w:r>
        <w:rPr>
          <w:rFonts w:ascii="Times New Roman" w:cs="Times New Roman" w:eastAsia="Times New Roman" w:hAnsi="Times New Roman"/>
          <w:sz w:val="22"/>
          <w:szCs w:val="22"/>
        </w:rPr>
        <w:t xml:space="preserve">[48]	H. Xu, Y. Bian, Y. Li, H. Qin, H. Zhou, F. Chang, S. Wang, and Q. Ye, "Learnable operational design condition monitor for failure prediction in autonomous driving," Accid. Anal. Prev., vol. 220, Art. no. 108139, 2025, doi: 10.1016/j.aap.2025.108139.</w:t>
      </w:r>
    </w:p>
    <w:p>
      <w:pPr>
        <w:spacing w:after="100"/>
        <w:ind w:left="567" w:hanging="567"/>
        <w:jc w:val="left"/>
      </w:pPr>
      <w:r>
        <w:rPr>
          <w:rFonts w:ascii="Times New Roman" w:cs="Times New Roman" w:eastAsia="Times New Roman" w:hAnsi="Times New Roman"/>
          <w:sz w:val="22"/>
          <w:szCs w:val="22"/>
        </w:rPr>
        <w:t xml:space="preserve">[49]	F. Schaller, R. Ehlers, I. Aslam, A. Deshpande, R. Gräfe, W. Guedri, N. Habib, N. Maslov, A. Rausch, S. S. Qutub, and M. Zhang, "Addressing SOTIF with a runtime monitor ensemble for AI-based perception systems," Discover Artif. Intell., vol. 6, no. 1, 2026, doi: 10.1007/s44163-026-02186-z.</w:t>
      </w:r>
    </w:p>
    <w:p>
      <w:pPr>
        <w:spacing w:after="100"/>
        <w:ind w:left="567" w:hanging="567"/>
        <w:jc w:val="left"/>
      </w:pPr>
      <w:r>
        <w:rPr>
          <w:rFonts w:ascii="Times New Roman" w:cs="Times New Roman" w:eastAsia="Times New Roman" w:hAnsi="Times New Roman"/>
          <w:sz w:val="22"/>
          <w:szCs w:val="22"/>
        </w:rPr>
        <w:t xml:space="preserve">[50]	E. Bartocci, J. V. Deshmukh, A. Donzé, G. Fainekos, O. Maler, D. Ničković, and S. Sankaranarayanan, "Specification-based monitoring of cyber-physical systems: A survey on theory, tools and applications," in Lectures on Runtime Verification, Lecture Notes in Computer Science, vol. 10457. Cham, Switzerland: Springer, 2018, pp. 135-175, doi: 10.1007/978-3-319-75632-5_5.</w:t>
      </w:r>
    </w:p>
    <w:p>
      <w:pPr>
        <w:spacing w:after="100"/>
        <w:ind w:left="567" w:hanging="567"/>
        <w:jc w:val="left"/>
      </w:pPr>
      <w:r>
        <w:rPr>
          <w:rFonts w:ascii="Times New Roman" w:cs="Times New Roman" w:eastAsia="Times New Roman" w:hAnsi="Times New Roman"/>
          <w:sz w:val="22"/>
          <w:szCs w:val="22"/>
        </w:rPr>
        <w:t xml:space="preserve">[51]	T. Menzel, G. Bagschik, and M. Maurer, "Scenarios for development, test and validation of automated vehicles," in Proc. IEEE Intelligent Vehicles Symp. (IV), 2018. arXiv:1801.08598.</w:t>
      </w:r>
    </w:p>
    <w:p>
      <w:pPr>
        <w:spacing w:after="100"/>
        <w:ind w:left="567" w:hanging="567"/>
        <w:jc w:val="left"/>
      </w:pPr>
      <w:r>
        <w:rPr>
          <w:rFonts w:ascii="Times New Roman" w:cs="Times New Roman" w:eastAsia="Times New Roman" w:hAnsi="Times New Roman"/>
          <w:sz w:val="22"/>
          <w:szCs w:val="22"/>
        </w:rPr>
        <w:t xml:space="preserve">[52]	Road Vehicles - Test Scenarios for Automated Driving Systems - Scenario Based Safety Evaluation Framework, ISO 34502:2022, International Organization for Standardization, Geneva, Switzerland, 2022.</w:t>
      </w:r>
    </w:p>
    <w:p>
      <w:pPr>
        <w:spacing w:after="100"/>
        <w:ind w:left="567" w:hanging="567"/>
        <w:jc w:val="left"/>
      </w:pPr>
      <w:r>
        <w:rPr>
          <w:rFonts w:ascii="Times New Roman" w:cs="Times New Roman" w:eastAsia="Times New Roman" w:hAnsi="Times New Roman"/>
          <w:sz w:val="22"/>
          <w:szCs w:val="22"/>
        </w:rPr>
        <w:t xml:space="preserve">[53]	B. Schütt, J. Ransiek, T. Braun, and E. Sax, "1001 ways of scenario generation for testing of self-driving cars: A survey," arXiv:2304.10850, 2023.</w:t>
      </w:r>
    </w:p>
    <w:p>
      <w:pPr>
        <w:spacing w:after="100"/>
        <w:ind w:left="567" w:hanging="567"/>
        <w:jc w:val="left"/>
      </w:pPr>
      <w:r>
        <w:rPr>
          <w:rFonts w:ascii="Times New Roman" w:cs="Times New Roman" w:eastAsia="Times New Roman" w:hAnsi="Times New Roman"/>
          <w:sz w:val="22"/>
          <w:szCs w:val="22"/>
        </w:rPr>
        <w:t xml:space="preserve">[54]	Z. Wang, J. Ma, and E. M.-K. Lai, "A survey of scenario generation for automated vehicle testing and validation," Future Internet, vol. 16, no. 12, Art. no. 480, 2024, doi: 10.3390/fi16120480.</w:t>
      </w:r>
    </w:p>
    <w:p>
      <w:pPr>
        <w:spacing w:after="100"/>
        <w:ind w:left="567" w:hanging="567"/>
        <w:jc w:val="left"/>
      </w:pPr>
      <w:r>
        <w:rPr>
          <w:rFonts w:ascii="Times New Roman" w:cs="Times New Roman" w:eastAsia="Times New Roman" w:hAnsi="Times New Roman"/>
          <w:sz w:val="22"/>
          <w:szCs w:val="22"/>
        </w:rPr>
        <w:t xml:space="preserve">[55]	W. Ding, C. Xu, M. Arief, H. Lin, B. Li, and D. Zhao, "A survey on safety-critical driving scenario generation: A methodological perspective," IEEE Trans. Intell. Transp. Syst., 2023. arXiv:2202.02215.</w:t>
      </w:r>
    </w:p>
    <w:p>
      <w:pPr>
        <w:spacing w:after="100"/>
        <w:ind w:left="567" w:hanging="567"/>
        <w:jc w:val="left"/>
      </w:pPr>
      <w:r>
        <w:rPr>
          <w:rFonts w:ascii="Times New Roman" w:cs="Times New Roman" w:eastAsia="Times New Roman" w:hAnsi="Times New Roman"/>
          <w:sz w:val="22"/>
          <w:szCs w:val="22"/>
        </w:rPr>
        <w:t xml:space="preserve">[56]	C. Birchler, S. Khatiri, P. Rani, T. Kehrer, and S. Panichella, "A roadmap for simulation-based testing of autonomous cyber-physical systems: Challenges and future direction," ACM Trans. Softw. Eng. Methodol., vol. 34, no. 5, Art. no. 152, 2025, doi: 10.1145/3711906.</w:t>
      </w:r>
    </w:p>
    <w:p>
      <w:pPr>
        <w:spacing w:after="100"/>
        <w:ind w:left="567" w:hanging="567"/>
        <w:jc w:val="left"/>
      </w:pPr>
      <w:r>
        <w:rPr>
          <w:rFonts w:ascii="Times New Roman" w:cs="Times New Roman" w:eastAsia="Times New Roman" w:hAnsi="Times New Roman"/>
          <w:sz w:val="22"/>
          <w:szCs w:val="22"/>
        </w:rPr>
        <w:t xml:space="preserve">[57]	A. Forrai, M. Alirezaei, T. Singh, A. Gali, and J. Ploeg, "Virtual verification and validation of autonomous vehicles: Toolchain and workflow," in Modeling and Control of Autonomous Systems. London, U.K.: IntechOpen, 2025, doi: 10.5772/intechopen.1008921.</w:t>
      </w:r>
    </w:p>
    <w:p>
      <w:pPr>
        <w:spacing w:after="100"/>
        <w:ind w:left="567" w:hanging="567"/>
        <w:jc w:val="left"/>
      </w:pPr>
      <w:r>
        <w:rPr>
          <w:rFonts w:ascii="Times New Roman" w:cs="Times New Roman" w:eastAsia="Times New Roman" w:hAnsi="Times New Roman"/>
          <w:sz w:val="22"/>
          <w:szCs w:val="22"/>
        </w:rPr>
        <w:t xml:space="preserve">[58]	B. Cabrero-Daniel and M. Mohamad, "Challenges of virtual validation and verification for automotive functions," in Proc. Euromicro Conf. Software Engineering and Advanced Applications (SEAA), Lecture Notes in Computer Science. Cham, Switzerland: Springer, 2025, pp. 183-200, doi: 10.1007/978-3-032-04190-6_12.</w:t>
      </w:r>
    </w:p>
    <w:p>
      <w:pPr>
        <w:spacing w:after="100"/>
        <w:ind w:left="567" w:hanging="567"/>
        <w:jc w:val="left"/>
      </w:pPr>
      <w:r>
        <w:rPr>
          <w:rFonts w:ascii="Times New Roman" w:cs="Times New Roman" w:eastAsia="Times New Roman" w:hAnsi="Times New Roman"/>
          <w:sz w:val="22"/>
          <w:szCs w:val="22"/>
        </w:rPr>
        <w:t xml:space="preserve">[59]	C. Birchler, T. K. Mohammed, P. Rani, T. Nechita, T. Kehrer, and S. Panichella, "How does simulation-based testing for self-driving cars match human perception?," Proc. ACM Softw. Eng., vol. 1, no. FSE, pp. 929-950, 2024, doi: 10.1145/3643768.</w:t>
      </w:r>
    </w:p>
    <w:p>
      <w:pPr>
        <w:spacing w:after="100"/>
        <w:ind w:left="567" w:hanging="567"/>
        <w:jc w:val="left"/>
      </w:pPr>
      <w:r>
        <w:rPr>
          <w:rFonts w:ascii="Times New Roman" w:cs="Times New Roman" w:eastAsia="Times New Roman" w:hAnsi="Times New Roman"/>
          <w:sz w:val="22"/>
          <w:szCs w:val="22"/>
        </w:rPr>
        <w:t xml:space="preserve">[60]	V. Crespo-Rodriguez, C. Birchler, Neelofar, A. Aleti, and S. Panichella, "The role of road features and vehicle dynamics in cost-effective autonomous vehicles safety testing: Insights from instance space analysis," Inf. Softw. Technol., vol. 195, Art. no. 108123, 2026, doi: 10.1016/j.infsof.2026.108123.</w:t>
      </w:r>
    </w:p>
    <w:p>
      <w:pPr>
        <w:spacing w:after="100"/>
        <w:ind w:left="567" w:hanging="567"/>
        <w:jc w:val="left"/>
      </w:pPr>
      <w:r>
        <w:rPr>
          <w:rFonts w:ascii="Times New Roman" w:cs="Times New Roman" w:eastAsia="Times New Roman" w:hAnsi="Times New Roman"/>
          <w:sz w:val="22"/>
          <w:szCs w:val="22"/>
        </w:rPr>
        <w:t xml:space="preserve">[61]	E. Aljalbout, J. Xing, A. Romero, I. Akinola, C. R. Garrett, E. Heiden, A. Gupta, T. Hermans, Y. Narang, D. Fox, D. Scaramuzza, and F. Ramos, "The reality gap in robotics: Challenges, solutions, and best practices," Annu. Rev. Control Robot. Auton. Syst., 2026 (accepted). arXiv:2510.20808.</w:t>
      </w:r>
    </w:p>
    <w:p>
      <w:pPr>
        <w:spacing w:after="100"/>
        <w:ind w:left="567" w:hanging="567"/>
        <w:jc w:val="left"/>
      </w:pPr>
      <w:r>
        <w:rPr>
          <w:rFonts w:ascii="Times New Roman" w:cs="Times New Roman" w:eastAsia="Times New Roman" w:hAnsi="Times New Roman"/>
          <w:sz w:val="22"/>
          <w:szCs w:val="22"/>
        </w:rPr>
        <w:t xml:space="preserve">[62]	D. J. Fremont, T. Dreossi, S. Ghosh, X. Yue, A. L. Sangiovanni-Vincentelli, and S. A. Seshia, "Scenic: A language for scenario specification and scene generation," in Proc. 40th ACM SIGPLAN Conf. Programming Language Design and Implementation (PLDI), 2019, doi: 10.1145/3314221.3314633.</w:t>
      </w:r>
    </w:p>
    <w:p>
      <w:pPr>
        <w:spacing w:after="100"/>
        <w:ind w:left="567" w:hanging="567"/>
        <w:jc w:val="left"/>
      </w:pPr>
      <w:r>
        <w:rPr>
          <w:rFonts w:ascii="Times New Roman" w:cs="Times New Roman" w:eastAsia="Times New Roman" w:hAnsi="Times New Roman"/>
          <w:sz w:val="22"/>
          <w:szCs w:val="22"/>
        </w:rPr>
        <w:t xml:space="preserve">[63]	A. Dosovitskiy, G. Ros, F. Codevilla, A. Lopez, and V. Koltun, "CARLA: An open urban driving simulator," in Proc. 1st Annu. Conf. Robot Learning (CoRL), Proc. Mach. Learn. Res., vol. 78, 2017.</w:t>
      </w:r>
    </w:p>
    <w:p>
      <w:pPr>
        <w:spacing w:after="100"/>
        <w:ind w:left="567" w:hanging="567"/>
        <w:jc w:val="left"/>
      </w:pPr>
      <w:r>
        <w:rPr>
          <w:rFonts w:ascii="Times New Roman" w:cs="Times New Roman" w:eastAsia="Times New Roman" w:hAnsi="Times New Roman"/>
          <w:sz w:val="22"/>
          <w:szCs w:val="22"/>
        </w:rPr>
        <w:t xml:space="preserve">[64]	C. E. Tuncali, G. Fainekos, D. Prokhorov, H. Ito, and J. Kapinski, "Requirements-driven test generation for autonomous vehicles with machine learning components," arXiv:1908.01094, 2019.</w:t>
      </w:r>
    </w:p>
    <w:p>
      <w:pPr>
        <w:spacing w:after="100"/>
        <w:ind w:left="567" w:hanging="567"/>
        <w:jc w:val="left"/>
      </w:pPr>
      <w:r>
        <w:rPr>
          <w:rFonts w:ascii="Times New Roman" w:cs="Times New Roman" w:eastAsia="Times New Roman" w:hAnsi="Times New Roman"/>
          <w:sz w:val="22"/>
          <w:szCs w:val="22"/>
        </w:rPr>
        <w:t xml:space="preserve">[65]	S. Khastgir, S. Brewerton, J. Thomas, and P. Jennings, "Systems approach to creating test scenarios for automated driving systems," Reliab. Eng. Syst. Saf., vol. 215, Art. no. 107610, 2021, doi: 10.1016/j.ress.2021.107610.</w:t>
      </w:r>
    </w:p>
    <w:p>
      <w:pPr>
        <w:spacing w:after="100"/>
        <w:ind w:left="567" w:hanging="567"/>
        <w:jc w:val="left"/>
      </w:pPr>
      <w:r>
        <w:rPr>
          <w:rFonts w:ascii="Times New Roman" w:cs="Times New Roman" w:eastAsia="Times New Roman" w:hAnsi="Times New Roman"/>
          <w:sz w:val="22"/>
          <w:szCs w:val="22"/>
        </w:rPr>
        <w:t xml:space="preserve">[66]	A. Corso, R. J. Moss, M. Koren, R. Lee, and M. J. Kochenderfer, "A survey of algorithms for black-box safety validation of cyber-physical systems," J. Artif. Intell. Res., vol. 72, 2021, doi: 10.1613/jair.1.12716.</w:t>
      </w:r>
    </w:p>
    <w:p>
      <w:pPr>
        <w:spacing w:after="100"/>
        <w:ind w:left="567" w:hanging="567"/>
        <w:jc w:val="left"/>
      </w:pPr>
      <w:r>
        <w:rPr>
          <w:rFonts w:ascii="Times New Roman" w:cs="Times New Roman" w:eastAsia="Times New Roman" w:hAnsi="Times New Roman"/>
          <w:sz w:val="22"/>
          <w:szCs w:val="22"/>
        </w:rPr>
        <w:t xml:space="preserve">[67]	D. R. Kuhn, R. Bryce, F. Duan, L. Ghandehari, Y. Lei, and R. N. Kacker, "Combinatorial testing: Theory and practice," Adv. Comput., vol. 99, pp. 1-66, 2015, doi: 10.1016/bs.adcom.2015.05.003.</w:t>
      </w:r>
    </w:p>
    <w:p>
      <w:pPr>
        <w:spacing w:after="100"/>
        <w:ind w:left="567" w:hanging="567"/>
        <w:jc w:val="left"/>
      </w:pPr>
      <w:r>
        <w:rPr>
          <w:rFonts w:ascii="Times New Roman" w:cs="Times New Roman" w:eastAsia="Times New Roman" w:hAnsi="Times New Roman"/>
          <w:sz w:val="22"/>
          <w:szCs w:val="22"/>
        </w:rPr>
        <w:t xml:space="preserve">[68]	D. R. Kuhn, I. Dominguez Mendoza, R. N. Kacker, and Y. Lei, "Combinatorial coverage measurement concepts and applications," in Proc. IEEE 6th Int. Conf. Software Testing, Verification and Validation Workshops (ICSTW), Luxembourg, 2013, pp. 352-361, doi: 10.1109/ICSTW.2013.77.</w:t>
      </w:r>
    </w:p>
    <w:p>
      <w:pPr>
        <w:spacing w:after="100"/>
        <w:ind w:left="567" w:hanging="567"/>
        <w:jc w:val="left"/>
      </w:pPr>
      <w:r>
        <w:rPr>
          <w:rFonts w:ascii="Times New Roman" w:cs="Times New Roman" w:eastAsia="Times New Roman" w:hAnsi="Times New Roman"/>
          <w:sz w:val="22"/>
          <w:szCs w:val="22"/>
        </w:rPr>
        <w:t xml:space="preserve">[69]	Y. Li, J. Tao, and F. Wotawa, "Ontology-based test generation for automated and autonomous driving functions," Inf. Softw. Technol., vol. 117, Art. no. 106200, 2020, doi: 10.1016/j.infsof.2019.106200.</w:t>
      </w:r>
    </w:p>
    <w:p>
      <w:pPr>
        <w:spacing w:after="100"/>
        <w:ind w:left="567" w:hanging="567"/>
        <w:jc w:val="left"/>
      </w:pPr>
      <w:r>
        <w:rPr>
          <w:rFonts w:ascii="Times New Roman" w:cs="Times New Roman" w:eastAsia="Times New Roman" w:hAnsi="Times New Roman"/>
          <w:sz w:val="22"/>
          <w:szCs w:val="22"/>
        </w:rPr>
        <w:t xml:space="preserve">[70]	M. Skoglund, F. Warg, A. Thorsén, S. Punnekkat, and H. Hansson, "Methodology for test case allocation based on a formalized ODD," arXiv:2509.02311, 2025.</w:t>
      </w:r>
    </w:p>
    <w:p>
      <w:pPr>
        <w:spacing w:after="100"/>
        <w:ind w:left="567" w:hanging="567"/>
        <w:jc w:val="left"/>
      </w:pPr>
      <w:r>
        <w:rPr>
          <w:rFonts w:ascii="Times New Roman" w:cs="Times New Roman" w:eastAsia="Times New Roman" w:hAnsi="Times New Roman"/>
          <w:sz w:val="22"/>
          <w:szCs w:val="22"/>
        </w:rPr>
        <w:t xml:space="preserve">[71]	U. S. Shah and D. C. Jinwala, "Resolving ambiguities in natural language software requirements: A comprehensive survey," ACM SIGSOFT Softw. Eng. Notes, vol. 40, no. 5, pp. 1-7, 2015, doi: 10.1145/2815021.2815032.</w:t>
      </w:r>
    </w:p>
    <w:p>
      <w:pPr>
        <w:spacing w:after="100"/>
        <w:ind w:left="567" w:hanging="567"/>
        <w:jc w:val="left"/>
      </w:pPr>
      <w:r>
        <w:rPr>
          <w:rFonts w:ascii="Times New Roman" w:cs="Times New Roman" w:eastAsia="Times New Roman" w:hAnsi="Times New Roman"/>
          <w:sz w:val="22"/>
          <w:szCs w:val="22"/>
        </w:rPr>
        <w:t xml:space="preserve">[72]	F. de Bruijn and H. L. Dekkers, "Ambiguity in natural language software requirements: A case study," in Requirements Engineering: Foundation for Software Quality (REFSQ 2010), Lecture Notes in Computer Science. Berlin, Germany: Springer, 2010, pp. 233-247, doi: 10.1007/978-3-642-14192-8_21.</w:t>
      </w:r>
    </w:p>
    <w:p>
      <w:pPr>
        <w:spacing w:after="100"/>
        <w:ind w:left="567" w:hanging="567"/>
        <w:jc w:val="left"/>
      </w:pPr>
      <w:r>
        <w:rPr>
          <w:rFonts w:ascii="Times New Roman" w:cs="Times New Roman" w:eastAsia="Times New Roman" w:hAnsi="Times New Roman"/>
          <w:sz w:val="22"/>
          <w:szCs w:val="22"/>
        </w:rPr>
        <w:t xml:space="preserve">[73]	F. Talha, T. Tahir, and T. Nadeem, "A semiautomated approach for detecting ambiguities in software requirements using SpanBERT and named entity recognition," J. Softw. Evol. Process, vol. 37, no. 8, 2025, doi: 10.1002/smr.70041.</w:t>
      </w:r>
    </w:p>
    <w:p>
      <w:pPr>
        <w:spacing w:after="100"/>
        <w:ind w:left="567" w:hanging="567"/>
        <w:jc w:val="left"/>
      </w:pPr>
      <w:r>
        <w:rPr>
          <w:rFonts w:ascii="Times New Roman" w:cs="Times New Roman" w:eastAsia="Times New Roman" w:hAnsi="Times New Roman"/>
          <w:sz w:val="22"/>
          <w:szCs w:val="22"/>
        </w:rPr>
        <w:t xml:space="preserve">[74]	S. Bashir, A. Ferrari, A. Khan, P. E. Strandberg, Z. Haider, M. Saadatmand, and M. Bohlin, "Requirements ambiguity detection and explanation with LLMs: An industrial study," in Proc. IEEE Int. Conf. Software Maintenance and Evolution (ICSME), Industry Track, 2025 (IEEE Xplore document 11185947).</w:t>
      </w:r>
    </w:p>
    <w:p>
      <w:pPr>
        <w:spacing w:after="100"/>
        <w:ind w:left="567" w:hanging="567"/>
        <w:jc w:val="left"/>
      </w:pPr>
      <w:r>
        <w:rPr>
          <w:rFonts w:ascii="Times New Roman" w:cs="Times New Roman" w:eastAsia="Times New Roman" w:hAnsi="Times New Roman"/>
          <w:sz w:val="22"/>
          <w:szCs w:val="22"/>
        </w:rPr>
        <w:t xml:space="preserve">[75]	Systems and Software Engineering - Life Cycle Processes - Requirements Engineering, ISO/IEC/IEEE 29148:2018, 2018.</w:t>
      </w:r>
    </w:p>
    <w:p>
      <w:pPr>
        <w:spacing w:after="100"/>
        <w:ind w:left="567" w:hanging="567"/>
        <w:jc w:val="left"/>
      </w:pPr>
      <w:r>
        <w:rPr>
          <w:rFonts w:ascii="Times New Roman" w:cs="Times New Roman" w:eastAsia="Times New Roman" w:hAnsi="Times New Roman"/>
          <w:sz w:val="22"/>
          <w:szCs w:val="22"/>
        </w:rPr>
        <w:t xml:space="preserve">[76]	J.-M. Bruel, S. Ebersold, F. Galinier, M. Mazzara, A. Naumchev, and B. Meyer, "The role of formalism in system requirements," ACM Comput. Surv., vol. 54, no. 5, pp. 1-36, 2021, doi: 10.1145/3448975.</w:t>
      </w:r>
    </w:p>
    <w:p>
      <w:pPr>
        <w:spacing w:after="100"/>
        <w:ind w:left="567" w:hanging="567"/>
        <w:jc w:val="left"/>
      </w:pPr>
      <w:r>
        <w:rPr>
          <w:rFonts w:ascii="Times New Roman" w:cs="Times New Roman" w:eastAsia="Times New Roman" w:hAnsi="Times New Roman"/>
          <w:sz w:val="22"/>
          <w:szCs w:val="22"/>
        </w:rPr>
        <w:t xml:space="preserve">[77]	H. Hu, L. Zhang, and C. Ye, "Semantic-based requirements analysis and verification," in Proc. Int. Conf. Electronics and Information Engineering (ICEIE), 2010, pp. V1-241-V1-246, doi: 10.1109/ICEIE.2010.5559882.</w:t>
      </w:r>
    </w:p>
    <w:p>
      <w:pPr>
        <w:spacing w:after="100"/>
        <w:ind w:left="567" w:hanging="567"/>
        <w:jc w:val="left"/>
      </w:pPr>
      <w:r>
        <w:rPr>
          <w:rFonts w:ascii="Times New Roman" w:cs="Times New Roman" w:eastAsia="Times New Roman" w:hAnsi="Times New Roman"/>
          <w:sz w:val="22"/>
          <w:szCs w:val="22"/>
        </w:rPr>
        <w:t xml:space="preserve">[78]	K. Mokos, T. Nestoridis, P. Katsaros, and N. Bassiliades, "Semantic modeling and analysis of natural language system requirements," IEEE Access, vol. 10, pp. 84094-84119, 2022 (IEEE Xplore document 9852230).</w:t>
      </w:r>
    </w:p>
    <w:p>
      <w:pPr>
        <w:spacing w:after="100"/>
        <w:ind w:left="567" w:hanging="567"/>
        <w:jc w:val="left"/>
      </w:pPr>
      <w:r>
        <w:rPr>
          <w:rFonts w:ascii="Times New Roman" w:cs="Times New Roman" w:eastAsia="Times New Roman" w:hAnsi="Times New Roman"/>
          <w:sz w:val="22"/>
          <w:szCs w:val="22"/>
        </w:rPr>
        <w:t xml:space="preserve">[79]	S. Lim, A. Henriksson, and J. Zdravkovic, "Data-driven requirements elicitation: A systematic literature review," SN Comput. Sci., vol. 2, no. 1, Art. no. 16, 2021, doi: 10.1007/s42979-020-00416-4.</w:t>
      </w:r>
    </w:p>
    <w:p>
      <w:pPr>
        <w:spacing w:after="100"/>
        <w:ind w:left="567" w:hanging="567"/>
        <w:jc w:val="left"/>
      </w:pPr>
      <w:r>
        <w:rPr>
          <w:rFonts w:ascii="Times New Roman" w:cs="Times New Roman" w:eastAsia="Times New Roman" w:hAnsi="Times New Roman"/>
          <w:sz w:val="22"/>
          <w:szCs w:val="22"/>
        </w:rPr>
        <w:t xml:space="preserve">[80]	D. Giannakopoulou, T. Pressburger, A. Mavridou, J. Rhein, J. Schumann, and N. Shi, "Formal requirements elicitation with FRET," in Joint Proc. REFSQ-2020 Workshops, Doctoral Symposium, Live Studies Track, and Poster Track, CEUR-WS vol. 2584, Pisa, Italy, 2020.</w:t>
      </w:r>
    </w:p>
    <w:p>
      <w:pPr>
        <w:spacing w:after="100"/>
        <w:ind w:left="567" w:hanging="567"/>
        <w:jc w:val="left"/>
      </w:pPr>
      <w:r>
        <w:rPr>
          <w:rFonts w:ascii="Times New Roman" w:cs="Times New Roman" w:eastAsia="Times New Roman" w:hAnsi="Times New Roman"/>
          <w:sz w:val="22"/>
          <w:szCs w:val="22"/>
        </w:rPr>
        <w:t xml:space="preserve">[81]	J. He, E. Bartocci, D. Ničković, H. Isakovic, and R. Grosu, "DeepSTL - From English requirements to signal temporal logic," in Proc. 44th Int. Conf. Software Engineering (ICSE), 2022, doi: 10.1145/3510003.3510171.</w:t>
      </w:r>
    </w:p>
    <w:p>
      <w:pPr>
        <w:spacing w:after="100"/>
        <w:ind w:left="567" w:hanging="567"/>
        <w:jc w:val="left"/>
      </w:pPr>
      <w:r>
        <w:rPr>
          <w:rFonts w:ascii="Times New Roman" w:cs="Times New Roman" w:eastAsia="Times New Roman" w:hAnsi="Times New Roman"/>
          <w:sz w:val="22"/>
          <w:szCs w:val="22"/>
        </w:rPr>
        <w:t xml:space="preserve">[82]	A. Beg, D. O'Donoghue, and R. Monahan, "A short survey on formalising software requirements using large language models," arXiv:2506.11874, 2025.</w:t>
      </w:r>
    </w:p>
    <w:p>
      <w:pPr>
        <w:spacing w:after="100"/>
        <w:ind w:left="567" w:hanging="567"/>
        <w:jc w:val="left"/>
      </w:pPr>
      <w:r>
        <w:rPr>
          <w:rFonts w:ascii="Times New Roman" w:cs="Times New Roman" w:eastAsia="Times New Roman" w:hAnsi="Times New Roman"/>
          <w:sz w:val="22"/>
          <w:szCs w:val="22"/>
        </w:rPr>
        <w:t xml:space="preserve">[83]	A. Tagliaferro, B. Guindani, L. Lestingi, and M. Rossi, "Towards an agentic LLM-based approach to requirement formalization from unstructured specifications," arXiv:2604.18228, 2026.</w:t>
      </w:r>
    </w:p>
    <w:p>
      <w:pPr>
        <w:spacing w:after="100"/>
        <w:ind w:left="567" w:hanging="567"/>
        <w:jc w:val="left"/>
      </w:pPr>
      <w:r>
        <w:rPr>
          <w:rFonts w:ascii="Times New Roman" w:cs="Times New Roman" w:eastAsia="Times New Roman" w:hAnsi="Times New Roman"/>
          <w:sz w:val="22"/>
          <w:szCs w:val="22"/>
        </w:rPr>
        <w:t xml:space="preserve">[84]	A. Nouri, B. Cabrero-Daniel, F. Törner, H. Sivencrona, and C. Berger, "Engineering safety requirements for autonomous driving with large language models," in Proc. IEEE 32nd Int. Requirements Eng. Conf. (RE), 2024. arXiv:2403.16289.</w:t>
      </w:r>
    </w:p>
    <w:p>
      <w:pPr>
        <w:spacing w:after="100"/>
        <w:ind w:left="567" w:hanging="567"/>
        <w:jc w:val="left"/>
      </w:pPr>
      <w:r>
        <w:rPr>
          <w:rFonts w:ascii="Times New Roman" w:cs="Times New Roman" w:eastAsia="Times New Roman" w:hAnsi="Times New Roman"/>
          <w:sz w:val="22"/>
          <w:szCs w:val="22"/>
        </w:rPr>
        <w:t xml:space="preserve">[85]	B. V. Balu, F. Geissler, F. Carella, J.-V. Zacchi, J. Jiru, N. Mata, and R. Stolle, "Towards automated safety requirements derivation using agent-based RAG," arXiv:2504.11243, 2025.</w:t>
      </w:r>
    </w:p>
    <w:p>
      <w:pPr>
        <w:spacing w:after="100"/>
        <w:ind w:left="567" w:hanging="567"/>
        <w:jc w:val="left"/>
      </w:pPr>
      <w:r>
        <w:rPr>
          <w:rFonts w:ascii="Times New Roman" w:cs="Times New Roman" w:eastAsia="Times New Roman" w:hAnsi="Times New Roman"/>
          <w:sz w:val="22"/>
          <w:szCs w:val="22"/>
        </w:rPr>
        <w:t xml:space="preserve">[86]	L. Del Corro and R. Gemulla, "ClausIE: Clause-based open information extraction," in Proc. 22nd Int. Conf. World Wide Web (WWW), 2013, pp. 355-366, doi: 10.1145/2488388.2488420.</w:t>
      </w:r>
    </w:p>
    <w:p>
      <w:pPr>
        <w:spacing w:after="100"/>
        <w:ind w:left="567" w:hanging="567"/>
        <w:jc w:val="left"/>
      </w:pPr>
      <w:r>
        <w:rPr>
          <w:rFonts w:ascii="Times New Roman" w:cs="Times New Roman" w:eastAsia="Times New Roman" w:hAnsi="Times New Roman"/>
          <w:sz w:val="22"/>
          <w:szCs w:val="22"/>
        </w:rPr>
        <w:t xml:space="preserve">[87]	I. Beltagy, K. Lo, and A. Cohan, "SciBERT: A pretrained language model for scientific text," in Proc. Conf. Empirical Methods Natural Lang. Process. and 9th Int. Joint Conf. Natural Lang. Process. (EMNLP-IJCNLP), Hong Kong, China, 2019, pp. 3615-3620, doi: 10.18653/v1/D19-1371.</w:t>
      </w:r>
    </w:p>
    <w:p>
      <w:pPr>
        <w:spacing w:after="100"/>
        <w:ind w:left="567" w:hanging="567"/>
        <w:jc w:val="left"/>
      </w:pPr>
      <w:r>
        <w:rPr>
          <w:rFonts w:ascii="Times New Roman" w:cs="Times New Roman" w:eastAsia="Times New Roman" w:hAnsi="Times New Roman"/>
          <w:sz w:val="22"/>
          <w:szCs w:val="22"/>
        </w:rPr>
        <w:t xml:space="preserve">[88]	N. Reimers and I. Gurevych, "Sentence-BERT: Sentence embeddings using Siamese BERT-networks," in Proc. Conf. Empirical Methods Natural Lang. Process. and 9th Int. Joint Conf. Natural Lang. Process. (EMNLP-IJCNLP), Hong Kong, China, 2019, pp. 3982-3992, doi: 10.18653/v1/D19-1410.</w:t>
      </w:r>
    </w:p>
    <w:p>
      <w:pPr>
        <w:spacing w:after="100"/>
        <w:ind w:left="567" w:hanging="567"/>
        <w:jc w:val="left"/>
      </w:pPr>
      <w:r>
        <w:rPr>
          <w:rFonts w:ascii="Times New Roman" w:cs="Times New Roman" w:eastAsia="Times New Roman" w:hAnsi="Times New Roman"/>
          <w:sz w:val="22"/>
          <w:szCs w:val="22"/>
        </w:rPr>
        <w:t xml:space="preserve">[89]	L. Huang, W. Yu, W. Ma, W. Zhong, Z. Feng, H. Wang, Q. Chen, W. Peng, X. Feng, B. Qin, and T. Liu, "A survey on hallucination in large language models: Principles, taxonomy, challenges, and open questions," ACM Trans. Inf. Syst., vol. 43, no. 2, pp. 1-55, 2024, doi: 10.1145/3703155.</w:t>
      </w:r>
    </w:p>
    <w:p>
      <w:pPr>
        <w:spacing w:after="100"/>
        <w:ind w:left="567" w:hanging="567"/>
        <w:jc w:val="left"/>
      </w:pPr>
      <w:r>
        <w:rPr>
          <w:rFonts w:ascii="Times New Roman" w:cs="Times New Roman" w:eastAsia="Times New Roman" w:hAnsi="Times New Roman"/>
          <w:sz w:val="22"/>
          <w:szCs w:val="22"/>
        </w:rPr>
        <w:t xml:space="preserve">[90]	J. M. Zhang, M. Harman, L. Ma, and Y. Liu, "Machine learning testing: Survey, landscapes and horizons," IEEE Trans. Softw. Eng., vol. 48, no. 1, pp. 1-36, 2022, doi: 10.1109/TSE.2019.2962027.</w:t>
      </w:r>
    </w:p>
    <w:p>
      <w:pPr>
        <w:spacing w:after="100"/>
        <w:ind w:left="567" w:hanging="567"/>
        <w:jc w:val="left"/>
      </w:pPr>
      <w:r>
        <w:rPr>
          <w:rFonts w:ascii="Times New Roman" w:cs="Times New Roman" w:eastAsia="Times New Roman" w:hAnsi="Times New Roman"/>
          <w:sz w:val="22"/>
          <w:szCs w:val="22"/>
        </w:rPr>
        <w:t xml:space="preserve">[91]	T. Y. Chen, F.-C. Kuo, H. Liu, P.-L. Poon, D. Towey, T. H. Tse, and Z. Q. Zhou, "Metamorphic testing: A review of challenges and opportunities," ACM Comput. Surv., vol. 51, no. 1, pp. 1-27, 2018, doi: 10.1145/3143561.</w:t>
      </w:r>
    </w:p>
    <w:p>
      <w:pPr>
        <w:spacing w:after="100"/>
        <w:ind w:left="567" w:hanging="567"/>
        <w:jc w:val="left"/>
      </w:pPr>
      <w:r>
        <w:rPr>
          <w:rFonts w:ascii="Times New Roman" w:cs="Times New Roman" w:eastAsia="Times New Roman" w:hAnsi="Times New Roman"/>
          <w:sz w:val="22"/>
          <w:szCs w:val="22"/>
        </w:rPr>
        <w:t xml:space="preserve">[92]	A. Sinha, S. Chand, V. Vu, H. Chen, and V. V. Dixit, "Crash and disengagement data of autonomous vehicles on public roads in California," Sci. Data, vol. 8, no. 1, Art. no. 298, 2021, doi: 10.1038/s41597-021-01083-7.</w:t>
      </w:r>
    </w:p>
    <w:p>
      <w:pPr>
        <w:spacing w:after="100"/>
        <w:ind w:left="567" w:hanging="567"/>
        <w:jc w:val="left"/>
      </w:pPr>
      <w:r>
        <w:rPr>
          <w:rFonts w:ascii="Times New Roman" w:cs="Times New Roman" w:eastAsia="Times New Roman" w:hAnsi="Times New Roman"/>
          <w:sz w:val="22"/>
          <w:szCs w:val="22"/>
        </w:rPr>
        <w:t xml:space="preserve">[93]	B. Jian, R. Yu, H. Wang, L. Wang, and Z. Zou, "Towards lawful autonomous driving: Deriving scenario-aware driving requirements from traffic laws and regulations," arXiv:2604.24562, 2026.</w:t>
      </w:r>
    </w:p>
    <w:p>
      <w:pPr>
        <w:spacing w:after="100"/>
        <w:ind w:left="567" w:hanging="567"/>
        <w:jc w:val="left"/>
      </w:pPr>
      <w:r>
        <w:rPr>
          <w:rFonts w:ascii="Times New Roman" w:cs="Times New Roman" w:eastAsia="Times New Roman" w:hAnsi="Times New Roman"/>
          <w:sz w:val="22"/>
          <w:szCs w:val="22"/>
        </w:rPr>
        <w:t xml:space="preserve">[94]	Y. Zhao, J. Zhou, D. Bi, T. Mihalj, J. Hu, and A. Eichberger, "A survey on the application of large language models in scenario-based testing of automated driving systems," IEEE Trans. Intell. Transp. Syst., vol. 27, no. 5, pp. 5001-5023, 2026, doi: 10.1109/TITS.2026.3651004.</w:t>
      </w:r>
    </w:p>
    <w:p>
      <w:pPr>
        <w:spacing w:after="100"/>
        <w:ind w:left="567" w:hanging="567"/>
        <w:jc w:val="left"/>
      </w:pPr>
      <w:r>
        <w:rPr>
          <w:rFonts w:ascii="Times New Roman" w:cs="Times New Roman" w:eastAsia="Times New Roman" w:hAnsi="Times New Roman"/>
          <w:sz w:val="22"/>
          <w:szCs w:val="22"/>
        </w:rPr>
        <w:t xml:space="preserve">[95]	O. C. Z. Gotel and A. Finkelstein, "An analysis of the requirements traceability problem," in Proc. IEEE Int. Conf. Requirements Eng. (ICRE), Colorado Springs, CO, USA, 1994, pp. 94-101, doi: 10.1109/ICRE.1994.292398.</w:t>
      </w:r>
    </w:p>
    <w:p>
      <w:pPr>
        <w:spacing w:after="100"/>
        <w:ind w:left="567" w:hanging="567"/>
        <w:jc w:val="left"/>
      </w:pPr>
      <w:r>
        <w:rPr>
          <w:rFonts w:ascii="Times New Roman" w:cs="Times New Roman" w:eastAsia="Times New Roman" w:hAnsi="Times New Roman"/>
          <w:sz w:val="22"/>
          <w:szCs w:val="22"/>
        </w:rPr>
        <w:t xml:space="preserve">[96]	J. Cleland-Huang, O. C. Z. Gotel, J. Huffman Hayes, P. Mäder, and A. Zisman, "Software traceability: Trends and future directions," in Proc. Future of Software Engineering (FOSE), 2014, pp. 55-69, doi: 10.1145/2593882.2593891.</w:t>
      </w:r>
    </w:p>
    <w:p>
      <w:pPr>
        <w:spacing w:after="100"/>
        <w:ind w:left="567" w:hanging="567"/>
        <w:jc w:val="left"/>
      </w:pPr>
      <w:r>
        <w:rPr>
          <w:rFonts w:ascii="Times New Roman" w:cs="Times New Roman" w:eastAsia="Times New Roman" w:hAnsi="Times New Roman"/>
          <w:sz w:val="22"/>
          <w:szCs w:val="22"/>
        </w:rPr>
        <w:t xml:space="preserve">[97]	S. Maro, J.-P. Steghöfer, and M. Staron, "Software traceability in the automotive domain: Challenges and solutions," J. Syst. Softw., vol. 141, pp. 85-110, 2018, doi: 10.1016/j.jss.2018.03.060.</w:t>
      </w:r>
    </w:p>
    <w:p>
      <w:pPr>
        <w:spacing w:after="100"/>
        <w:ind w:left="567" w:hanging="567"/>
        <w:jc w:val="left"/>
      </w:pPr>
      <w:r>
        <w:rPr>
          <w:rFonts w:ascii="Times New Roman" w:cs="Times New Roman" w:eastAsia="Times New Roman" w:hAnsi="Times New Roman"/>
          <w:sz w:val="22"/>
          <w:szCs w:val="22"/>
        </w:rPr>
        <w:t xml:space="preserve">[98]	D. Fucci, E. Alégroth, and T. Axelsson, "When traceability goes awry: An industrial experience report," J. Syst. Softw., vol. 192, Art. no. 111389, 2022, doi: 10.1016/j.jss.2022.111389.</w:t>
      </w:r>
    </w:p>
    <w:p>
      <w:pPr>
        <w:spacing w:after="100"/>
        <w:ind w:left="567" w:hanging="567"/>
        <w:jc w:val="left"/>
      </w:pPr>
      <w:r>
        <w:rPr>
          <w:rFonts w:ascii="Times New Roman" w:cs="Times New Roman" w:eastAsia="Times New Roman" w:hAnsi="Times New Roman"/>
          <w:sz w:val="22"/>
          <w:szCs w:val="22"/>
        </w:rPr>
        <w:t xml:space="preserve">[99]	M. Ruiz, J. Y. Hu, and F. Dalpiaz, "Why don't we trace? A study on the barriers to software traceability in practice," Requir. Eng., vol. 28, no. 4, pp. 619-637, 2023, doi: 10.1007/s00766-023-00408-9.</w:t>
      </w:r>
    </w:p>
    <w:p>
      <w:pPr>
        <w:spacing w:after="100"/>
        <w:ind w:left="567" w:hanging="567"/>
        <w:jc w:val="left"/>
      </w:pPr>
      <w:r>
        <w:rPr>
          <w:rFonts w:ascii="Times New Roman" w:cs="Times New Roman" w:eastAsia="Times New Roman" w:hAnsi="Times New Roman"/>
          <w:sz w:val="22"/>
          <w:szCs w:val="22"/>
        </w:rPr>
        <w:t xml:space="preserve">[100]	P. Rempel, P. Mäder, and T. Kuschke, "An empirical study on project-specific traceability strategies," in Proc. 21st IEEE Int. Requirements Eng. Conf. (RE), Rio de Janeiro, Brazil, 2013, pp. 195-204, doi: 10.1109/RE.2013.6636719.</w:t>
      </w:r>
    </w:p>
    <w:p>
      <w:pPr>
        <w:spacing w:after="100"/>
        <w:ind w:left="567" w:hanging="567"/>
        <w:jc w:val="left"/>
      </w:pPr>
      <w:r>
        <w:rPr>
          <w:rFonts w:ascii="Times New Roman" w:cs="Times New Roman" w:eastAsia="Times New Roman" w:hAnsi="Times New Roman"/>
          <w:sz w:val="22"/>
          <w:szCs w:val="22"/>
        </w:rPr>
        <w:t xml:space="preserve">[101]	R. Wohlrab, P. Pelliccione, A. Shahrokni, and E. Knauss, "Why and how your traceability should evolve: Insights from an automotive supplier," IEEE Software, 2020 (IEEE Xplore document 9097278). arXiv:2005.09414.</w:t>
      </w:r>
    </w:p>
    <w:p>
      <w:pPr>
        <w:spacing w:after="100"/>
        <w:ind w:left="567" w:hanging="567"/>
        <w:jc w:val="left"/>
      </w:pPr>
      <w:r>
        <w:rPr>
          <w:rFonts w:ascii="Times New Roman" w:cs="Times New Roman" w:eastAsia="Times New Roman" w:hAnsi="Times New Roman"/>
          <w:sz w:val="22"/>
          <w:szCs w:val="22"/>
        </w:rPr>
        <w:t xml:space="preserve">[102]	W. Abdeen, M. Unterkalmsteiner, P. Löwenadler, P. Yousefi, and K. Wnuk, "Empirical evaluation of taxonomic trace links: A case study," Empir. Softw. Eng., vol. 31, no. 2, Art. no. 34, 2025, doi: 10.1007/s10664-025-10764-5.</w:t>
      </w:r>
    </w:p>
    <w:p>
      <w:pPr>
        <w:spacing w:after="100"/>
        <w:ind w:left="567" w:hanging="567"/>
        <w:jc w:val="left"/>
      </w:pPr>
      <w:r>
        <w:rPr>
          <w:rFonts w:ascii="Times New Roman" w:cs="Times New Roman" w:eastAsia="Times New Roman" w:hAnsi="Times New Roman"/>
          <w:sz w:val="22"/>
          <w:szCs w:val="22"/>
        </w:rPr>
        <w:t xml:space="preserve">[103]	F. Niu, R. Pan, L. C. Briand, and H. Hu, "TVR: Automotive system requirement traceability validation and recovery through retrieval-augmented generation," arXiv:2504.15427, 2025.</w:t>
      </w:r>
    </w:p>
    <w:p>
      <w:pPr>
        <w:spacing w:after="100"/>
        <w:ind w:left="567" w:hanging="567"/>
        <w:jc w:val="left"/>
      </w:pPr>
      <w:r>
        <w:rPr>
          <w:rFonts w:ascii="Times New Roman" w:cs="Times New Roman" w:eastAsia="Times New Roman" w:hAnsi="Times New Roman"/>
          <w:sz w:val="22"/>
          <w:szCs w:val="22"/>
        </w:rPr>
        <w:t xml:space="preserve">[104]	J. Mucha, A. Kaufmann, and D. Riehle, "A systematic literature review of pre-requirements specification traceability," Requir. Eng., vol. 29, no. 2, pp. 119-141, 2024, doi: 10.1007/s00766-023-00412-z.</w:t>
      </w:r>
    </w:p>
    <w:p>
      <w:pPr>
        <w:spacing w:after="100"/>
        <w:ind w:left="567" w:hanging="567"/>
        <w:jc w:val="left"/>
      </w:pPr>
      <w:r>
        <w:rPr>
          <w:rFonts w:ascii="Times New Roman" w:cs="Times New Roman" w:eastAsia="Times New Roman" w:hAnsi="Times New Roman"/>
          <w:sz w:val="22"/>
          <w:szCs w:val="22"/>
        </w:rPr>
        <w:t xml:space="preserve">[105]	F. Tian, T. Wang, P. Liang, C. Wang, A. A. Khan, and M. A. Babar, "The impact of traceability on software maintenance and evolution: A mapping study," J. Softw. Evol. Process, vol. 33, no. 10, 2021, doi: 10.1002/smr.2374.</w:t>
      </w:r>
    </w:p>
    <w:p>
      <w:pPr>
        <w:spacing w:after="100"/>
        <w:ind w:left="567" w:hanging="567"/>
        <w:jc w:val="left"/>
      </w:pPr>
      <w:r>
        <w:rPr>
          <w:rFonts w:ascii="Times New Roman" w:cs="Times New Roman" w:eastAsia="Times New Roman" w:hAnsi="Times New Roman"/>
          <w:sz w:val="22"/>
          <w:szCs w:val="22"/>
        </w:rPr>
        <w:t xml:space="preserve">[106]	E. Farhi, J. Goldstone, and S. Gutmann, "A quantum approximate optimization algorithm," arXiv:1411.4028, 2014.</w:t>
      </w:r>
    </w:p>
    <w:p>
      <w:pPr>
        <w:spacing w:after="100"/>
        <w:ind w:left="567" w:hanging="567"/>
        <w:jc w:val="left"/>
      </w:pPr>
      <w:r>
        <w:rPr>
          <w:rFonts w:ascii="Times New Roman" w:cs="Times New Roman" w:eastAsia="Times New Roman" w:hAnsi="Times New Roman"/>
          <w:sz w:val="22"/>
          <w:szCs w:val="22"/>
        </w:rPr>
        <w:t xml:space="preserve">[107]	A. Lucas, "Ising formulations of many NP problems," Front. Phys., vol. 2, Art. no. 5, 2014, doi: 10.3389/fphy.2014.00005.</w:t>
      </w:r>
    </w:p>
    <w:p>
      <w:pPr>
        <w:spacing w:after="100"/>
        <w:ind w:left="567" w:hanging="567"/>
        <w:jc w:val="left"/>
      </w:pPr>
      <w:r>
        <w:rPr>
          <w:rFonts w:ascii="Times New Roman" w:cs="Times New Roman" w:eastAsia="Times New Roman" w:hAnsi="Times New Roman"/>
          <w:sz w:val="22"/>
          <w:szCs w:val="22"/>
        </w:rPr>
        <w:t xml:space="preserve">[108]	M. Cerezo, A. Arrasmith, R. Babbush, S. C. Benjamin, S. Endo, K. Fujii, J. R. McClean, K. Mitarai, X. Yuan, L. Cincio, and P. J. Coles, "Variational quantum algorithms," Nat. Rev. Phys., vol. 3, no. 9, pp. 625-644, 2021, doi: 10.1038/s42254-021-00348-9.</w:t>
      </w:r>
    </w:p>
    <w:p>
      <w:pPr>
        <w:spacing w:after="100"/>
        <w:ind w:left="567" w:hanging="567"/>
        <w:jc w:val="left"/>
      </w:pPr>
      <w:r>
        <w:rPr>
          <w:rFonts w:ascii="Times New Roman" w:cs="Times New Roman" w:eastAsia="Times New Roman" w:hAnsi="Times New Roman"/>
          <w:sz w:val="22"/>
          <w:szCs w:val="22"/>
        </w:rPr>
        <w:t xml:space="preserve">[109]	C. C. McGeoch, Adiabatic Quantum Computation and Quantum Annealing: Theory and Practice (Synthesis Lectures on Quantum Computing). Cham, Switzerland: Springer, 2022 (orig. publ. 2014), doi: 10.1007/978-3-031-02518-1.</w:t>
      </w:r>
    </w:p>
    <w:p>
      <w:pPr>
        <w:spacing w:after="100"/>
        <w:ind w:left="567" w:hanging="567"/>
        <w:jc w:val="left"/>
      </w:pPr>
      <w:r>
        <w:rPr>
          <w:rFonts w:ascii="Times New Roman" w:cs="Times New Roman" w:eastAsia="Times New Roman" w:hAnsi="Times New Roman"/>
          <w:sz w:val="22"/>
          <w:szCs w:val="22"/>
        </w:rPr>
        <w:t xml:space="preserve">[110]	S. Yarkoni, E. Raponi, T. Bäck, and S. Schmitt, "Quantum annealing for industry applications: Introduction and review," Rep. Prog. Phys., vol. 85, no. 10, Art. no. 104001, 2022, doi: 10.1088/1361-6633/ac8c54.</w:t>
      </w:r>
    </w:p>
    <w:p>
      <w:pPr>
        <w:spacing w:after="100"/>
        <w:ind w:left="567" w:hanging="567"/>
        <w:jc w:val="left"/>
      </w:pPr>
      <w:r>
        <w:rPr>
          <w:rFonts w:ascii="Times New Roman" w:cs="Times New Roman" w:eastAsia="Times New Roman" w:hAnsi="Times New Roman"/>
          <w:sz w:val="22"/>
          <w:szCs w:val="22"/>
        </w:rPr>
        <w:t xml:space="preserve">[111]	J. King, S. Yarkoni, M. M. Nevisi, J. P. Hilton, and C. C. McGeoch, "Benchmarking a quantum annealing processor with the time-to-target metric," arXiv:1508.05087, 2015.</w:t>
      </w:r>
    </w:p>
    <w:p>
      <w:pPr>
        <w:spacing w:after="100"/>
        <w:ind w:left="567" w:hanging="567"/>
        <w:jc w:val="left"/>
      </w:pPr>
      <w:r>
        <w:rPr>
          <w:rFonts w:ascii="Times New Roman" w:cs="Times New Roman" w:eastAsia="Times New Roman" w:hAnsi="Times New Roman"/>
          <w:sz w:val="22"/>
          <w:szCs w:val="22"/>
        </w:rPr>
        <w:t xml:space="preserve">[112]	J. Preskill, "Quantum computing in the NISQ era and beyond," Quantum, vol. 2, Art. no. 79, 2018, doi: 10.22331/q-2018-08-06-79.</w:t>
      </w:r>
    </w:p>
    <w:p>
      <w:pPr>
        <w:spacing w:after="100"/>
        <w:ind w:left="567" w:hanging="567"/>
        <w:jc w:val="left"/>
      </w:pPr>
      <w:r>
        <w:rPr>
          <w:rFonts w:ascii="Times New Roman" w:cs="Times New Roman" w:eastAsia="Times New Roman" w:hAnsi="Times New Roman"/>
          <w:sz w:val="22"/>
          <w:szCs w:val="22"/>
        </w:rPr>
        <w:t xml:space="preserve">[113]	F. A. Quinton, P. A. S. Myhr, M. Barani, P. Crespo del Granado, and H. Zhang, "Quantum annealing applications, challenges and limitations for optimisation problems compared to classical solvers," Sci. Rep., 2025, doi: 10.1038/s41598-025-96220-2.</w:t>
      </w:r>
    </w:p>
    <w:p>
      <w:pPr>
        <w:spacing w:after="100"/>
        <w:ind w:left="567" w:hanging="567"/>
        <w:jc w:val="left"/>
      </w:pPr>
      <w:r>
        <w:rPr>
          <w:rFonts w:ascii="Times New Roman" w:cs="Times New Roman" w:eastAsia="Times New Roman" w:hAnsi="Times New Roman"/>
          <w:sz w:val="22"/>
          <w:szCs w:val="22"/>
        </w:rPr>
        <w:t xml:space="preserve">[114]	S. Feld, C. Roch, T. Gabor, C. Seidel, F. Neukart, I. Galter, W. Mauerer, and C. Linnhoff-Popien, "A hybrid solution method for the capacitated vehicle routing problem using a quantum annealer," Front. ICT, vol. 6, Art. no. 13, 2019, doi: 10.3389/fict.2019.00013.</w:t>
      </w:r>
    </w:p>
    <w:p>
      <w:pPr>
        <w:spacing w:after="100"/>
        <w:ind w:left="567" w:hanging="567"/>
        <w:jc w:val="left"/>
      </w:pPr>
      <w:r>
        <w:rPr>
          <w:rFonts w:ascii="Times New Roman" w:cs="Times New Roman" w:eastAsia="Times New Roman" w:hAnsi="Times New Roman"/>
          <w:sz w:val="22"/>
          <w:szCs w:val="22"/>
        </w:rPr>
        <w:t xml:space="preserve">[115]	Ö. Salehi, A. Glos, and J. A. Miszczak, "Unconstrained binary models of the travelling salesman problem variants for quantum optimization," Quantum Inf. Process., vol. 21, no. 2, Art. no. 67, 2022, doi: 10.1007/s11128-021-03405-5.</w:t>
      </w:r>
    </w:p>
    <w:p>
      <w:pPr>
        <w:spacing w:after="100"/>
        <w:ind w:left="567" w:hanging="567"/>
        <w:jc w:val="left"/>
      </w:pPr>
      <w:r>
        <w:rPr>
          <w:rFonts w:ascii="Times New Roman" w:cs="Times New Roman" w:eastAsia="Times New Roman" w:hAnsi="Times New Roman"/>
          <w:sz w:val="22"/>
          <w:szCs w:val="22"/>
        </w:rPr>
        <w:t xml:space="preserve">[116]	P. D. Nation, H. Kang, N. Sundaresan, and J. M. Gambetta, "Scalable mitigation of measurement errors on quantum computers," PRX Quantum, vol. 2, no. 4, Art. no. 040326, 2021, doi: 10.1103/PRXQuantum.2.040326.</w:t>
      </w:r>
    </w:p>
    <w:p>
      <w:pPr>
        <w:spacing w:after="100"/>
        <w:ind w:left="567" w:hanging="567"/>
        <w:jc w:val="left"/>
      </w:pPr>
      <w:r>
        <w:rPr>
          <w:rFonts w:ascii="Times New Roman" w:cs="Times New Roman" w:eastAsia="Times New Roman" w:hAnsi="Times New Roman"/>
          <w:sz w:val="22"/>
          <w:szCs w:val="22"/>
        </w:rPr>
        <w:t xml:space="preserve">[117]	M. Zhang, Y. Li, T. Yue, and K.-Y. Cai, "Quantum optimization for software engineering: A survey," ACM Trans. Softw. Eng. Methodol., doi: 10.1145/3816147. arXiv:2506.16878.</w:t>
      </w:r>
    </w:p>
    <w:p>
      <w:pPr>
        <w:spacing w:after="100"/>
        <w:ind w:left="567" w:hanging="567"/>
        <w:jc w:val="left"/>
      </w:pPr>
      <w:r>
        <w:rPr>
          <w:rFonts w:ascii="Times New Roman" w:cs="Times New Roman" w:eastAsia="Times New Roman" w:hAnsi="Times New Roman"/>
          <w:sz w:val="22"/>
          <w:szCs w:val="22"/>
        </w:rPr>
        <w:t xml:space="preserve">[118]	X. Wang, S. Ali, T. Yue, and P. Arcaini, "Quantum approximate optimization algorithm for test case optimization," arXiv:2312.15547, 2023.</w:t>
      </w:r>
    </w:p>
    <w:p>
      <w:pPr>
        <w:spacing w:after="100"/>
        <w:ind w:left="567" w:hanging="567"/>
        <w:jc w:val="left"/>
      </w:pPr>
      <w:r>
        <w:rPr>
          <w:rFonts w:ascii="Times New Roman" w:cs="Times New Roman" w:eastAsia="Times New Roman" w:hAnsi="Times New Roman"/>
          <w:sz w:val="22"/>
          <w:szCs w:val="22"/>
        </w:rPr>
        <w:t xml:space="preserve">[119]	N. Innan, B. K. Behera, S. Al-Kuwari, and A. Farouk, "QNN-VRCS: A quantum neural network for vehicle road cooperation systems," arXiv:2412.12705, 2024.</w:t>
      </w:r>
    </w:p>
    <w:p>
      <w:pPr>
        <w:spacing w:after="100"/>
        <w:ind w:left="567" w:hanging="567"/>
        <w:jc w:val="left"/>
      </w:pPr>
      <w:r>
        <w:rPr>
          <w:rFonts w:ascii="Times New Roman" w:cs="Times New Roman" w:eastAsia="Times New Roman" w:hAnsi="Times New Roman"/>
          <w:sz w:val="22"/>
          <w:szCs w:val="22"/>
        </w:rPr>
        <w:t xml:space="preserve">[120]	B. Weder, J. Barzen, F. Leymann, and D. Vietz, "Quantum software development lifecycle," in Quantum Software Engineering, M. A. Serrano, R. Pérez-Castillo, and M. Piattini, Eds. Cham, Switzerland: Springer, 2022, pp. 61-83, doi: 10.1007/978-3-031-05324-5_4.</w:t>
      </w:r>
    </w:p>
    <w:p>
      <w:pPr>
        <w:spacing w:after="100"/>
        <w:ind w:left="567" w:hanging="567"/>
        <w:jc w:val="left"/>
      </w:pPr>
      <w:r>
        <w:rPr>
          <w:rFonts w:ascii="Times New Roman" w:cs="Times New Roman" w:eastAsia="Times New Roman" w:hAnsi="Times New Roman"/>
          <w:sz w:val="22"/>
          <w:szCs w:val="22"/>
        </w:rPr>
        <w:t xml:space="preserve">[121]	M. A. Serrano, J. A. Cruz-Lemus, R. Pérez-Castillo, and M. Piattini, "Quantum software components and platforms: Overview and quality assessment," ACM Comput. Surv., vol. 55, no. 8, pp. 1-31, 2022, doi: 10.1145/3548679.</w:t>
      </w:r>
    </w:p>
    <w:p>
      <w:pPr>
        <w:spacing w:after="100"/>
        <w:ind w:left="567" w:hanging="567"/>
        <w:jc w:val="left"/>
      </w:pPr>
      <w:r>
        <w:rPr>
          <w:rFonts w:ascii="Times New Roman" w:cs="Times New Roman" w:eastAsia="Times New Roman" w:hAnsi="Times New Roman"/>
          <w:sz w:val="22"/>
          <w:szCs w:val="22"/>
        </w:rPr>
        <w:t xml:space="preserve">[122]	M. Piattini, M. Serrano, R. Pérez-Castillo, G. Petersen, and J. L. Hevia, "Toward a quantum software engineering," IT Prof., vol. 23, no. 1, pp. 62-66, 2021, doi: 10.1109/MITP.2020.3019522.</w:t>
      </w:r>
    </w:p>
    <w:p>
      <w:pPr>
        <w:spacing w:after="100"/>
        <w:ind w:left="567" w:hanging="567"/>
        <w:jc w:val="left"/>
      </w:pPr>
      <w:r>
        <w:rPr>
          <w:rFonts w:ascii="Times New Roman" w:cs="Times New Roman" w:eastAsia="Times New Roman" w:hAnsi="Times New Roman"/>
          <w:sz w:val="22"/>
          <w:szCs w:val="22"/>
        </w:rPr>
        <w:t xml:space="preserve">[123]	M. Paltenghi and M. Pradel, "Bugs in quantum computing platforms: An empirical study," Proc. ACM Program. Lang., vol. 6, no. OOPSLA1, pp. 1-27, 2022, doi: 10.1145/3527330.</w:t>
      </w:r>
    </w:p>
    <w:p>
      <w:pPr>
        <w:spacing w:after="100"/>
        <w:ind w:left="567" w:hanging="567"/>
        <w:jc w:val="left"/>
      </w:pPr>
      <w:r>
        <w:rPr>
          <w:rFonts w:ascii="Times New Roman" w:cs="Times New Roman" w:eastAsia="Times New Roman" w:hAnsi="Times New Roman"/>
          <w:sz w:val="22"/>
          <w:szCs w:val="22"/>
        </w:rPr>
        <w:t xml:space="preserve">[124]	S. Ali and T. Yue, "Quantum software testing: A brief introduction," in Proc. IEEE/ACM 45th Int. Conf. Software Engineering: Companion (ICSE-Companion), Melbourne, Australia, 2023, pp. 332-333, doi: 10.1109/ICSE-Companion58688.2023.00093.</w:t>
      </w:r>
    </w:p>
    <w:p>
      <w:pPr>
        <w:spacing w:after="100"/>
        <w:ind w:left="567" w:hanging="567"/>
        <w:jc w:val="left"/>
      </w:pPr>
      <w:r>
        <w:rPr>
          <w:rFonts w:ascii="Times New Roman" w:cs="Times New Roman" w:eastAsia="Times New Roman" w:hAnsi="Times New Roman"/>
          <w:sz w:val="22"/>
          <w:szCs w:val="22"/>
        </w:rPr>
        <w:t xml:space="preserve">[125]	K. Hietala, R. Rand, S.-H. Hung, X. Wu, and M. Hicks, "A verified optimizer for quantum circuits," Proc. ACM Program. Lang., vol. 5, no. POPL, pp. 1-29, 2021, doi: 10.1145/3434318.</w:t>
      </w:r>
    </w:p>
    <w:p>
      <w:pPr>
        <w:spacing w:after="100"/>
        <w:ind w:left="567" w:hanging="567"/>
        <w:jc w:val="left"/>
      </w:pPr>
      <w:r>
        <w:rPr>
          <w:rFonts w:ascii="Times New Roman" w:cs="Times New Roman" w:eastAsia="Times New Roman" w:hAnsi="Times New Roman"/>
          <w:sz w:val="22"/>
          <w:szCs w:val="22"/>
        </w:rPr>
        <w:t xml:space="preserve">[126]	M. Ying, "Floyd-Hoare logic for quantum programs," ACM Trans. Program. Lang. Syst., vol. 33, no. 6, pp. 1-49, 2011, doi: 10.1145/2049706.2049708.</w:t>
      </w:r>
    </w:p>
    <w:p>
      <w:pPr>
        <w:spacing w:after="100"/>
        <w:ind w:left="567" w:hanging="567"/>
        <w:jc w:val="left"/>
      </w:pPr>
      <w:r>
        <w:rPr>
          <w:rFonts w:ascii="Times New Roman" w:cs="Times New Roman" w:eastAsia="Times New Roman" w:hAnsi="Times New Roman"/>
          <w:sz w:val="22"/>
          <w:szCs w:val="22"/>
        </w:rPr>
        <w:t xml:space="preserve">[127]	A. Govindankutty, "A review of formal methods in quantum-circuit verification," Electronics, vol. 15, no. 5, Art. no. 1125, 2026, doi: 10.3390/electronics15051125.</w:t>
      </w:r>
    </w:p>
    <w:p>
      <w:pPr>
        <w:spacing w:after="100"/>
        <w:ind w:left="567" w:hanging="567"/>
        <w:jc w:val="left"/>
      </w:pPr>
      <w:r>
        <w:rPr>
          <w:rFonts w:ascii="Times New Roman" w:cs="Times New Roman" w:eastAsia="Times New Roman" w:hAnsi="Times New Roman"/>
          <w:sz w:val="22"/>
          <w:szCs w:val="22"/>
        </w:rPr>
        <w:t xml:space="preserve">[128]	Road Vehicles - Safety and Artificial Intelligence, ISO/PAS 8800:2024, International Organization for Standardization, Geneva, Switzerland, 2024.</w:t>
      </w:r>
    </w:p>
    <w:p>
      <w:pPr>
        <w:spacing w:after="100"/>
        <w:ind w:left="567" w:hanging="567"/>
        <w:jc w:val="left"/>
      </w:pPr>
      <w:r>
        <w:rPr>
          <w:rFonts w:ascii="Times New Roman" w:cs="Times New Roman" w:eastAsia="Times New Roman" w:hAnsi="Times New Roman"/>
          <w:sz w:val="22"/>
          <w:szCs w:val="22"/>
        </w:rPr>
        <w:t xml:space="preserve">[129]	Standard for Safety for the Evaluation of Autonomous Products, UL 4600, Ed. 3, UL Standards &amp; Engagement, Mar. 17, 2023.</w:t>
      </w:r>
    </w:p>
    <w:p>
      <w:pPr>
        <w:spacing w:after="100"/>
        <w:ind w:left="567" w:hanging="567"/>
        <w:jc w:val="left"/>
      </w:pPr>
      <w:r>
        <w:rPr>
          <w:rFonts w:ascii="Times New Roman" w:cs="Times New Roman" w:eastAsia="Times New Roman" w:hAnsi="Times New Roman"/>
          <w:sz w:val="22"/>
          <w:szCs w:val="22"/>
        </w:rPr>
        <w:t xml:space="preserve">[130]	J. Pérez-Cerrolaza, J. Abella, M. Borg, C. Donzella, J. Cerquides, F. J. Cazorla, C. Englund, M. Tauber, G. Nikolakopoulos, and J. L. Flores, "Artificial intelligence for safety-critical systems in industrial and transportation domains: A survey," ACM Comput. Surv., vol. 56, no. 7, pp. 1-40, 2024, doi: 10.1145/3626314.</w:t>
      </w:r>
    </w:p>
    <w:p>
      <w:pPr>
        <w:spacing w:after="100"/>
        <w:ind w:left="567" w:hanging="567"/>
        <w:jc w:val="left"/>
      </w:pPr>
      <w:r>
        <w:rPr>
          <w:rFonts w:ascii="Times New Roman" w:cs="Times New Roman" w:eastAsia="Times New Roman" w:hAnsi="Times New Roman"/>
          <w:sz w:val="22"/>
          <w:szCs w:val="22"/>
        </w:rPr>
        <w:t xml:space="preserve">[131]	A. Pereira and C. Thomas, "Challenges of machine learning applied to safety-critical cyber-physical systems," Mach. Learn. Knowl. Extr., vol. 2, no. 4, pp. 579-602, 2020, doi: 10.3390/make2040031.</w:t>
      </w:r>
    </w:p>
    <w:p>
      <w:pPr>
        <w:spacing w:after="100"/>
        <w:ind w:left="567" w:hanging="567"/>
        <w:jc w:val="left"/>
      </w:pPr>
      <w:r>
        <w:rPr>
          <w:rFonts w:ascii="Times New Roman" w:cs="Times New Roman" w:eastAsia="Times New Roman" w:hAnsi="Times New Roman"/>
          <w:sz w:val="22"/>
          <w:szCs w:val="22"/>
        </w:rPr>
        <w:t xml:space="preserve">[132]	A. Kuznietsov, B. Gyevnar, C. Wang, S. Peters, and S. V. Albrecht, "Explainable AI for safe and trustworthy autonomous driving: A systematic review," IEEE Trans. Intell. Transp. Syst., 2024, doi: 10.1109/TITS.2024.3474469.</w:t>
      </w:r>
    </w:p>
    <w:p>
      <w:pPr>
        <w:spacing w:after="100"/>
        <w:ind w:left="567" w:hanging="567"/>
        <w:jc w:val="left"/>
      </w:pPr>
      <w:r>
        <w:rPr>
          <w:rFonts w:ascii="Times New Roman" w:cs="Times New Roman" w:eastAsia="Times New Roman" w:hAnsi="Times New Roman"/>
          <w:sz w:val="22"/>
          <w:szCs w:val="22"/>
        </w:rPr>
        <w:t xml:space="preserve">[133]	V. Hassija, V. Chamola, A. Mahapatra, A. Singal, D. Goel, K. Huang, S. Scardapane, I. Spinelli, M. Mahmud, and A. Hussain, "Interpreting black-box models: A review on explainable artificial intelligence," Cogn. Comput., vol. 16, no. 1, pp. 45-74, 2023, doi: 10.1007/s12559-023-10179-8.</w:t>
      </w:r>
    </w:p>
    <w:p>
      <w:pPr>
        <w:spacing w:after="100"/>
        <w:ind w:left="567" w:hanging="567"/>
        <w:jc w:val="left"/>
      </w:pPr>
      <w:r>
        <w:rPr>
          <w:rFonts w:ascii="Times New Roman" w:cs="Times New Roman" w:eastAsia="Times New Roman" w:hAnsi="Times New Roman"/>
          <w:sz w:val="22"/>
          <w:szCs w:val="22"/>
        </w:rPr>
        <w:t xml:space="preserve">[134]	E. Şahin, N. N. Arslan, and D. Özdemir, "Unlocking the black box: An in-depth review on interpretability, explainability, and reliability in deep learning," Neural Comput. Appl., vol. 37, no. 2, pp. 859-965, 2024, doi: 10.1007/s00521-024-10437-2.</w:t>
      </w:r>
    </w:p>
    <w:p>
      <w:pPr>
        <w:spacing w:after="100"/>
        <w:ind w:left="567" w:hanging="567"/>
        <w:jc w:val="left"/>
      </w:pPr>
      <w:r>
        <w:rPr>
          <w:rFonts w:ascii="Times New Roman" w:cs="Times New Roman" w:eastAsia="Times New Roman" w:hAnsi="Times New Roman"/>
          <w:sz w:val="22"/>
          <w:szCs w:val="22"/>
        </w:rPr>
        <w:t xml:space="preserve">[135]	H. Yin, Z. Zhao, J. H. Yan, and D. Watzenig, "Certified robustness in automated driving perception: A review," Automot. Innov., vol. 8, no. 4, pp. 817-837, 2025, doi: 10.1007/s42154-024-00347-3.</w:t>
      </w:r>
    </w:p>
    <w:p>
      <w:pPr>
        <w:spacing w:after="100"/>
        <w:ind w:left="567" w:hanging="567"/>
        <w:jc w:val="left"/>
      </w:pPr>
      <w:r>
        <w:rPr>
          <w:rFonts w:ascii="Times New Roman" w:cs="Times New Roman" w:eastAsia="Times New Roman" w:hAnsi="Times New Roman"/>
          <w:sz w:val="22"/>
          <w:szCs w:val="22"/>
        </w:rPr>
        <w:t xml:space="preserve">[136]	J. Kim and A. Kaur, "A survey on adversarial robustness of LiDAR-based machine learning perception in autonomous vehicles," arXiv:2411.13778, 2024.</w:t>
      </w:r>
    </w:p>
    <w:p>
      <w:pPr>
        <w:spacing w:after="100"/>
        <w:ind w:left="567" w:hanging="567"/>
        <w:jc w:val="left"/>
      </w:pPr>
      <w:r>
        <w:rPr>
          <w:rFonts w:ascii="Times New Roman" w:cs="Times New Roman" w:eastAsia="Times New Roman" w:hAnsi="Times New Roman"/>
          <w:sz w:val="22"/>
          <w:szCs w:val="22"/>
        </w:rPr>
        <w:t xml:space="preserve">[137]	Assurance Case Working Group, "Goal Structuring Notation community standard, version 3," Safety-Critical Systems Club, SCSC-141C, 2021.</w:t>
      </w:r>
    </w:p>
    <w:p>
      <w:pPr>
        <w:spacing w:after="100"/>
        <w:ind w:left="567" w:hanging="567"/>
        <w:jc w:val="left"/>
      </w:pPr>
      <w:r>
        <w:rPr>
          <w:rFonts w:ascii="Times New Roman" w:cs="Times New Roman" w:eastAsia="Times New Roman" w:hAnsi="Times New Roman"/>
          <w:sz w:val="22"/>
          <w:szCs w:val="22"/>
        </w:rPr>
        <w:t xml:space="preserve">[138]	M. Wagner and C. Carlan, "The open autonomy safety case framework," Safety-Critical Systems eJournal, vol. 3, no. 1, 2024. arXiv:2404.05444.</w:t>
      </w:r>
    </w:p>
    <w:p>
      <w:pPr>
        <w:spacing w:after="100"/>
        <w:ind w:left="567" w:hanging="567"/>
        <w:jc w:val="left"/>
      </w:pPr>
      <w:r>
        <w:rPr>
          <w:rFonts w:ascii="Times New Roman" w:cs="Times New Roman" w:eastAsia="Times New Roman" w:hAnsi="Times New Roman"/>
          <w:sz w:val="22"/>
          <w:szCs w:val="22"/>
        </w:rPr>
        <w:t xml:space="preserve">[139]	M. Chelouati, A. Boussif, J. Beugin, and E.-M. El Koursi, "Graphical safety assurance case using goal structuring notation (GSN) - challenges, opportunities and a framework for autonomous trains," Reliab. Eng. Syst. Saf., vol. 230, Art. no. 108933, 2023, doi: 10.1016/j.ress.2022.108933.</w:t>
      </w:r>
    </w:p>
    <w:p>
      <w:pPr>
        <w:spacing w:after="100"/>
        <w:ind w:left="567" w:hanging="567"/>
        <w:jc w:val="left"/>
      </w:pPr>
      <w:r>
        <w:rPr>
          <w:rFonts w:ascii="Times New Roman" w:cs="Times New Roman" w:eastAsia="Times New Roman" w:hAnsi="Times New Roman"/>
          <w:sz w:val="22"/>
          <w:szCs w:val="22"/>
        </w:rPr>
        <w:t xml:space="preserve">[140]	R. Wei, S. Foster, H. Mei, F. Yan, R. Yang, I. Habli, C. O'Halloran, N. Tudor, T. Kelly, and Y. Nemouchi, "ACCESS: Assurance case centric engineering of safety-critical systems," J. Syst. Softw., 2024, Art. no. 112034, doi: 10.1016/j.jss.2024.112034.</w:t>
      </w:r>
    </w:p>
    <w:p>
      <w:pPr>
        <w:spacing w:after="100"/>
        <w:ind w:left="567" w:hanging="567"/>
        <w:jc w:val="left"/>
      </w:pPr>
      <w:r>
        <w:rPr>
          <w:rFonts w:ascii="Times New Roman" w:cs="Times New Roman" w:eastAsia="Times New Roman" w:hAnsi="Times New Roman"/>
          <w:sz w:val="22"/>
          <w:szCs w:val="22"/>
        </w:rPr>
        <w:t xml:space="preserve">[141]	C. Paterson, R. D. Hawkins, C. Picardi, Y. Jia, R. Calinescu, and I. Habli, "Safety assurance of machine learning for autonomous systems," Reliab. Eng. Syst. Saf., vol. 264, Art. no. 111311, 2025, doi: 10.1016/j.ress.2025.111311.</w:t>
      </w:r>
    </w:p>
    <w:p>
      <w:pPr>
        <w:spacing w:after="100"/>
        <w:ind w:left="567" w:hanging="567"/>
        <w:jc w:val="left"/>
      </w:pPr>
      <w:r>
        <w:rPr>
          <w:rFonts w:ascii="Times New Roman" w:cs="Times New Roman" w:eastAsia="Times New Roman" w:hAnsi="Times New Roman"/>
          <w:sz w:val="22"/>
          <w:szCs w:val="22"/>
        </w:rPr>
        <w:t xml:space="preserve">[142]	R. Hawkins, C. Paterson, C. Picardi, Y. Jia, R. Calinescu, and I. Habli, "Guidance on the assurance of machine learning in autonomous systems (AMLAS)," arXiv:2102.01564, 2021.</w:t>
      </w:r>
    </w:p>
    <w:p>
      <w:pPr>
        <w:spacing w:after="100"/>
        <w:ind w:left="567" w:hanging="567"/>
        <w:jc w:val="left"/>
      </w:pPr>
      <w:r>
        <w:rPr>
          <w:rFonts w:ascii="Times New Roman" w:cs="Times New Roman" w:eastAsia="Times New Roman" w:hAnsi="Times New Roman"/>
          <w:sz w:val="22"/>
          <w:szCs w:val="22"/>
        </w:rPr>
        <w:t xml:space="preserve">[143]	UN Regulation No 157 - Uniform provisions concerning the approval of vehicles with regards to Automated Lane Keeping Systems [2021/389], Off. J. Eur. Union, vol. L 82, p. 75, Mar. 9, 2021.</w:t>
      </w:r>
    </w:p>
    <w:p>
      <w:pPr>
        <w:spacing w:after="100"/>
        <w:ind w:left="567" w:hanging="567"/>
        <w:jc w:val="left"/>
      </w:pPr>
      <w:r>
        <w:rPr>
          <w:rFonts w:ascii="Times New Roman" w:cs="Times New Roman" w:eastAsia="Times New Roman" w:hAnsi="Times New Roman"/>
          <w:sz w:val="22"/>
          <w:szCs w:val="22"/>
        </w:rPr>
        <w:t xml:space="preserve">[144]	A. Ferrari, G. O. Spagnolo, and S. Gnesi, "PURE: A dataset of public requirements documents," in Proc. IEEE 25th Int. Requirements Eng. Conf. (RE), 2017, pp. 502-505. Dataset: doi: 10.5281/zenodo.1414117.</w:t>
      </w:r>
    </w:p>
    <w:p>
      <w:pPr>
        <w:spacing w:after="100"/>
        <w:ind w:left="567" w:hanging="567"/>
        <w:jc w:val="left"/>
      </w:pPr>
      <w:r>
        <w:rPr>
          <w:rFonts w:ascii="Times New Roman" w:cs="Times New Roman" w:eastAsia="Times New Roman" w:hAnsi="Times New Roman"/>
          <w:sz w:val="22"/>
          <w:szCs w:val="22"/>
        </w:rPr>
        <w:t xml:space="preserve">[145]	J. Cohen, "A coefficient of agreement for nominal scales," Educ. Psychol. Meas., vol. 20, no. 1, pp. 37-46, 1960, doi: 10.1177/001316446002000104.</w:t>
      </w:r>
    </w:p>
    <w:sectPr>
      <w:footerReference w:type="default" r:id="rId9"/>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Quantum-Optimised Generation of Operational Design Domain Boundary Test Scenarios, Traceably Derived from Safety Requirements for Automated Driving Systems</dc:title>
  <dc:creator>Saadia Sadaf</dc:creator>
  <cp:lastModifiedBy>Un-named</cp:lastModifiedBy>
  <cp:revision>1</cp:revision>
  <dcterms:created xsi:type="dcterms:W3CDTF">2026-09-27T10:26:19.496Z</dcterms:created>
  <dcterms:modified xsi:type="dcterms:W3CDTF">2026-09-27T10:26:19.500Z</dcterms:modified>
</cp:coreProperties>
</file>

<file path=docProps/custom.xml><?xml version="1.0" encoding="utf-8"?>
<Properties xmlns="http://schemas.openxmlformats.org/officeDocument/2006/custom-properties" xmlns:vt="http://schemas.openxmlformats.org/officeDocument/2006/docPropsVTypes"/>
</file>