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Olist E-Commerce Analysis</w:t>
      </w:r>
    </w:p>
    <w:p>
      <w:pPr>
        <w:pStyle w:val="Heading1"/>
        <w:spacing w:after="240"/>
      </w:pPr>
      <w:r>
        <w:t xml:space="preserve">Reference Document: Phase 4 (Quasi-Experimental Causal Analysis)</w:t>
      </w:r>
    </w:p>
    <w:p>
      <w:pPr>
        <w:spacing w:after="160"/>
      </w:pPr>
      <w:r>
        <w:t xml:space="preserve">This document summarizes the causal-adjustment work in Phase 4: building a distance confounder, assembling the full modeling dataset, fitting an ordinal logistic regression, and testing whether delivery speed's effect on satisfaction varies by product category.</w:t>
      </w:r>
    </w:p>
    <w:p>
      <w:pPr>
        <w:pStyle w:val="Heading3"/>
        <w:spacing w:after="120" w:before="240"/>
      </w:pPr>
      <w:r>
        <w:t xml:space="preserve">Color Legend</w:t>
      </w:r>
    </w:p>
    <w:tbl>
      <w:tblPr>
        <w:tblW w:type="dxa" w:w="9350"/>
        <w:tblBorders>
          <w:top w:val="single" w:color="2E7D32" w:sz="4"/>
          <w:left w:val="single" w:color="2E7D32" w:sz="24"/>
          <w:bottom w:val="single" w:color="2E7D32" w:sz="4"/>
          <w:right w:val="single" w:color="2E7D32" w:sz="4"/>
          <w:insideH w:val="single" w:color="auto" w:sz="4"/>
          <w:insideV w:val="single" w:color="auto" w:sz="4"/>
        </w:tblBorders>
      </w:tblPr>
      <w:tblGrid>
        <w:gridCol w:w="9350"/>
      </w:tblGrid>
      <w:tr>
        <w:tc>
          <w:tcPr>
            <w:tcW w:type="dxa" w:w="9350"/>
            <w:shd w:fill="E8F5E9" w:val="clear"/>
            <w:tcMar>
              <w:top w:type="dxa" w:w="120"/>
              <w:left w:type="dxa" w:w="180"/>
              <w:bottom w:type="dxa" w:w="120"/>
              <w:right w:type="dxa" w:w="180"/>
            </w:tcMar>
          </w:tcPr>
          <w:p>
            <w:pPr>
              <w:spacing w:after="60"/>
            </w:pPr>
            <w:r>
              <w:rPr>
                <w:b/>
                <w:bCs/>
                <w:color w:val="2E7D32"/>
                <w:sz w:val="20"/>
                <w:szCs w:val="20"/>
              </w:rPr>
              <w:t xml:space="preserve">CLEAN / VALIDATED</w:t>
            </w:r>
          </w:p>
          <w:p>
            <w:r>
              <w:rPr>
                <w:color w:val="222222"/>
                <w:sz w:val="21"/>
                <w:szCs w:val="21"/>
              </w:rPr>
              <w:t xml:space="preserve">The check passed, or the result confirms data integrity — no issue found.</w:t>
            </w:r>
          </w:p>
        </w:tc>
      </w:tr>
    </w:tbl>
    <w:p>
      <w:pPr>
        <w:spacing w:after="12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c>
          <w:tcPr>
            <w:tcW w:type="dxa" w:w="9350"/>
            <w:shd w:fill="FFF8E1" w:val="clear"/>
            <w:tcMar>
              <w:top w:type="dxa" w:w="120"/>
              <w:left w:type="dxa" w:w="180"/>
              <w:bottom w:type="dxa" w:w="120"/>
              <w:right w:type="dxa" w:w="180"/>
            </w:tcMar>
          </w:tcPr>
          <w:p>
            <w:pPr>
              <w:spacing w:after="60"/>
            </w:pPr>
            <w:r>
              <w:rPr>
                <w:b/>
                <w:bCs/>
                <w:color w:val="8A6D00"/>
                <w:sz w:val="20"/>
                <w:szCs w:val="20"/>
              </w:rPr>
              <w:t xml:space="preserve">DATA QUALITY NOTE</w:t>
            </w:r>
          </w:p>
          <w:p>
            <w:r>
              <w:rPr>
                <w:color w:val="222222"/>
                <w:sz w:val="21"/>
                <w:szCs w:val="21"/>
              </w:rPr>
              <w:t xml:space="preserve">A real quirk or limitation in the data that we identified, understood, and handled deliberately.</w:t>
            </w:r>
          </w:p>
        </w:tc>
      </w:tr>
    </w:tbl>
    <w:p>
      <w:pPr>
        <w:spacing w:after="120"/>
      </w:pP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An analytical result with real business implications — worth highlighting in a resume, interview, or executive summary.</w:t>
            </w:r>
          </w:p>
        </w:tc>
      </w:tr>
    </w:tbl>
    <w:p>
      <w:pPr>
        <w:spacing w:after="120"/>
      </w:pPr>
    </w:p>
    <w:tbl>
      <w:tblPr>
        <w:tblW w:type="dxa" w:w="9350"/>
        <w:tblBorders>
          <w:top w:val="single" w:color="1565C0" w:sz="4"/>
          <w:left w:val="single" w:color="1565C0" w:sz="24"/>
          <w:bottom w:val="single" w:color="1565C0" w:sz="4"/>
          <w:right w:val="single" w:color="1565C0" w:sz="4"/>
          <w:insideH w:val="single" w:color="auto" w:sz="4"/>
          <w:insideV w:val="single" w:color="auto" w:sz="4"/>
        </w:tblBorders>
      </w:tblPr>
      <w:tblGrid>
        <w:gridCol w:w="9350"/>
      </w:tblGrid>
      <w:tr>
        <w:tc>
          <w:tcPr>
            <w:tcW w:type="dxa" w:w="9350"/>
            <w:shd w:fill="E3F2FD" w:val="clear"/>
            <w:tcMar>
              <w:top w:type="dxa" w:w="120"/>
              <w:left w:type="dxa" w:w="180"/>
              <w:bottom w:type="dxa" w:w="120"/>
              <w:right w:type="dxa" w:w="180"/>
            </w:tcMar>
          </w:tcPr>
          <w:p>
            <w:pPr>
              <w:spacing w:after="60"/>
            </w:pPr>
            <w:r>
              <w:rPr>
                <w:b/>
                <w:bCs/>
                <w:color w:val="1565C0"/>
                <w:sz w:val="20"/>
                <w:szCs w:val="20"/>
              </w:rPr>
              <w:t xml:space="preserve">TECHNICAL CONCEPT</w:t>
            </w:r>
          </w:p>
          <w:p>
            <w:r>
              <w:rPr>
                <w:color w:val="222222"/>
                <w:sz w:val="21"/>
                <w:szCs w:val="21"/>
              </w:rPr>
              <w:t xml:space="preserve">A statistical or technical concept worth understanding and being able to explain, not just a result.</w:t>
            </w:r>
          </w:p>
        </w:tc>
      </w:tr>
    </w:tbl>
    <w:p>
      <w:pPr>
        <w:spacing w:after="240"/>
      </w:pPr>
    </w:p>
    <w:p>
      <w:pPr>
        <w:pStyle w:val="Heading2"/>
        <w:spacing w:after="160" w:before="360"/>
      </w:pPr>
      <w:r>
        <w:t xml:space="preserve">Phase 4 — Quasi-Experimental Causal Analysis</w:t>
      </w:r>
    </w:p>
    <w:p>
      <w:pPr>
        <w:spacing w:after="160"/>
      </w:pPr>
      <w:r>
        <w:t xml:space="preserve">Goal: determine whether delivery speed has a genuine causal relationship with customer satisfaction, or whether the pattern seen in Phase 2's naive baseline was fully explained by confounding variables like distance, category, order value, or region.</w:t>
      </w:r>
    </w:p>
    <w:p>
      <w:pPr>
        <w:pStyle w:val="Heading3"/>
        <w:spacing w:after="120" w:before="240"/>
      </w:pPr>
      <w:r>
        <w:t xml:space="preserve">1. Building the Distance Confounder</w:t>
      </w:r>
    </w:p>
    <w:p>
      <w:pPr>
        <w:spacing w:after="160"/>
      </w:pPr>
      <w:r>
        <w:rPr>
          <w:b/>
          <w:bCs/>
        </w:rPr>
        <w:t xml:space="preserve">Technical: </w:t>
      </w:r>
      <w:r>
        <w:t xml:space="preserve">Computed seller-to-customer great-circle distance using the Haversine formula on averaged zip-code latitude/longitude, aggregated to order level (average and max distance across items in each order).</w:t>
      </w:r>
    </w:p>
    <w:p>
      <w:pPr>
        <w:spacing w:after="160"/>
      </w:pPr>
      <w:r>
        <w:rPr>
          <w:b/>
          <w:bCs/>
        </w:rPr>
        <w:t xml:space="preserve">In plain terms: </w:t>
      </w:r>
      <w:r>
        <w:t xml:space="preserve">Distance was originally missing from the Phase 2 feature set. Since far-away customers may experience both slower delivery AND different baseline expectations, distance is a classic confounding variable that had to be added before the regression could be trusted.</w:t>
      </w:r>
    </w:p>
    <w:tbl>
      <w:tblPr>
        <w:tblW w:type="dxa" w:w="9350"/>
        <w:tblBorders>
          <w:top w:val="single" w:color="2E7D32" w:sz="4"/>
          <w:left w:val="single" w:color="2E7D32" w:sz="24"/>
          <w:bottom w:val="single" w:color="2E7D32" w:sz="4"/>
          <w:right w:val="single" w:color="2E7D32" w:sz="4"/>
          <w:insideH w:val="single" w:color="auto" w:sz="4"/>
          <w:insideV w:val="single" w:color="auto" w:sz="4"/>
        </w:tblBorders>
      </w:tblPr>
      <w:tblGrid>
        <w:gridCol w:w="9350"/>
      </w:tblGrid>
      <w:tr>
        <w:tc>
          <w:tcPr>
            <w:tcW w:type="dxa" w:w="9350"/>
            <w:shd w:fill="E8F5E9" w:val="clear"/>
            <w:tcMar>
              <w:top w:type="dxa" w:w="120"/>
              <w:left w:type="dxa" w:w="180"/>
              <w:bottom w:type="dxa" w:w="120"/>
              <w:right w:type="dxa" w:w="180"/>
            </w:tcMar>
          </w:tcPr>
          <w:p>
            <w:pPr>
              <w:spacing w:after="60"/>
            </w:pPr>
            <w:r>
              <w:rPr>
                <w:b/>
                <w:bCs/>
                <w:color w:val="2E7D32"/>
                <w:sz w:val="20"/>
                <w:szCs w:val="20"/>
              </w:rPr>
              <w:t xml:space="preserve">CLEAN / VALIDATED</w:t>
            </w:r>
          </w:p>
          <w:p>
            <w:r>
              <w:rPr>
                <w:color w:val="222222"/>
                <w:sz w:val="21"/>
                <w:szCs w:val="21"/>
              </w:rPr>
              <w:t xml:space="preserve">99.5% of orders successfully matched to a distance value via zip code — clean enough to use directly without needing to impute missing values, which would have introduced its own bias.</w:t>
            </w:r>
          </w:p>
        </w:tc>
      </w:tr>
    </w:tbl>
    <w:p>
      <w:pPr>
        <w:pStyle w:val="Heading3"/>
        <w:spacing w:after="120" w:before="240"/>
      </w:pPr>
      <w:r>
        <w:t xml:space="preserve">2. Assembling the Modeling Dataset</w:t>
      </w:r>
    </w:p>
    <w:p>
      <w:pPr>
        <w:spacing w:after="160"/>
      </w:pPr>
      <w:r>
        <w:rPr>
          <w:b/>
          <w:bCs/>
        </w:rPr>
        <w:t xml:space="preserve">Technical: </w:t>
      </w:r>
      <w:r>
        <w:t xml:space="preserve">Combined order-level features, the new distance view, customer region, and a "primary category" (the category of the highest-priced item per order, since orders can span multiple categories) into one modeling table. Applied four deliberate filters: excluded canceled/unavailable orders, required a review score, required a delivery date, required a distance value.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c>
          <w:tcPr>
            <w:tcW w:type="dxa" w:w="9350"/>
            <w:shd w:fill="FFF8E1" w:val="clear"/>
            <w:tcMar>
              <w:top w:type="dxa" w:w="120"/>
              <w:left w:type="dxa" w:w="180"/>
              <w:bottom w:type="dxa" w:w="120"/>
              <w:right w:type="dxa" w:w="180"/>
            </w:tcMar>
          </w:tcPr>
          <w:p>
            <w:pPr>
              <w:spacing w:after="60"/>
            </w:pPr>
            <w:r>
              <w:rPr>
                <w:b/>
                <w:bCs/>
                <w:color w:val="8A6D00"/>
                <w:sz w:val="20"/>
                <w:szCs w:val="20"/>
              </w:rPr>
              <w:t xml:space="preserve">DATA QUALITY NOTE</w:t>
            </w:r>
          </w:p>
          <w:p>
            <w:r>
              <w:rPr>
                <w:color w:val="222222"/>
                <w:sz w:val="21"/>
                <w:szCs w:val="21"/>
              </w:rPr>
              <w:t xml:space="preserve">Filtering reduced the dataset from 99,441 to 95,349 orders (~4%). This compounds the MNAR limitation from Phase 3: excluding non-delivered orders removed a disproportionate share of 1-star reviews, so the modeling population is very slightly more satisfied than the true full population. Stated explicitly here rather than left implicit.</w:t>
            </w:r>
          </w:p>
        </w:tc>
      </w:tr>
    </w:tbl>
    <w:p>
      <w:pPr>
        <w:pStyle w:val="Heading3"/>
        <w:spacing w:after="120" w:before="240"/>
      </w:pPr>
      <w:r>
        <w:t xml:space="preserve">3. Formal Multicollinearity Check (VIF)</w:t>
      </w:r>
    </w:p>
    <w:p>
      <w:pPr>
        <w:spacing w:after="160"/>
      </w:pPr>
      <w:r>
        <w:rPr>
          <w:b/>
          <w:bCs/>
        </w:rPr>
        <w:t xml:space="preserve">Technical: </w:t>
      </w:r>
      <w:r>
        <w:t xml:space="preserve">Computed Variance Inflation Factor for all continuous predictors, including delivery_days and is_late together.</w:t>
      </w:r>
    </w:p>
    <w:tbl>
      <w:tblPr>
        <w:tblW w:type="dxa" w:w="9350"/>
        <w:tblBorders>
          <w:top w:val="single" w:color="2E7D32" w:sz="4"/>
          <w:left w:val="single" w:color="2E7D32" w:sz="24"/>
          <w:bottom w:val="single" w:color="2E7D32" w:sz="4"/>
          <w:right w:val="single" w:color="2E7D32" w:sz="4"/>
          <w:insideH w:val="single" w:color="auto" w:sz="4"/>
          <w:insideV w:val="single" w:color="auto" w:sz="4"/>
        </w:tblBorders>
      </w:tblPr>
      <w:tblGrid>
        <w:gridCol w:w="9350"/>
      </w:tblGrid>
      <w:tr>
        <w:tc>
          <w:tcPr>
            <w:tcW w:type="dxa" w:w="9350"/>
            <w:shd w:fill="E8F5E9" w:val="clear"/>
            <w:tcMar>
              <w:top w:type="dxa" w:w="120"/>
              <w:left w:type="dxa" w:w="180"/>
              <w:bottom w:type="dxa" w:w="120"/>
              <w:right w:type="dxa" w:w="180"/>
            </w:tcMar>
          </w:tcPr>
          <w:p>
            <w:pPr>
              <w:spacing w:after="60"/>
            </w:pPr>
            <w:r>
              <w:rPr>
                <w:b/>
                <w:bCs/>
                <w:color w:val="2E7D32"/>
                <w:sz w:val="20"/>
                <w:szCs w:val="20"/>
              </w:rPr>
              <w:t xml:space="preserve">CLEAN / VALIDATED</w:t>
            </w:r>
          </w:p>
          <w:p>
            <w:r>
              <w:rPr>
                <w:color w:val="222222"/>
                <w:sz w:val="21"/>
                <w:szCs w:val="21"/>
              </w:rPr>
              <w:t xml:space="preserve">All VIF values fell between 1.2 and 1.9 — well under the 5.0 caution threshold. delivery_days and is_late can safely coexist as independent predictors in the regression. This resolves a concern first raised in Phase 2 (raw late-rate spike) and partially eased in Phase 3 (0.59 correlation) — a good example of using increasingly rigorous tests to settle a question rather than assuming.</w:t>
            </w:r>
          </w:p>
        </w:tc>
      </w:tr>
    </w:tbl>
    <w:p>
      <w:pPr>
        <w:pStyle w:val="Heading3"/>
        <w:spacing w:after="120" w:before="240"/>
      </w:pPr>
      <w:r>
        <w:t xml:space="preserve">4. The Regression: Ordinal Logistic Model</w:t>
      </w:r>
    </w:p>
    <w:p>
      <w:pPr>
        <w:spacing w:after="160"/>
      </w:pPr>
      <w:r>
        <w:rPr>
          <w:b/>
          <w:bCs/>
        </w:rPr>
        <w:t xml:space="preserve">Technical: </w:t>
      </w:r>
      <w:r>
        <w:t xml:space="preserve">Fit an ordinal logistic regression (statsmodels OrderedModel) with review_score (1–5) as the ordered outcome. Predictors: delivery_days, is_late, distance, order value, freight value, item count (all standardized), plus category (top 15 + "other") and customer state as categorical controls.</w:t>
      </w:r>
    </w:p>
    <w:p>
      <w:pPr>
        <w:spacing w:after="160"/>
      </w:pPr>
      <w:r>
        <w:rPr>
          <w:b/>
          <w:bCs/>
        </w:rPr>
        <w:t xml:space="preserve">In plain terms: </w:t>
      </w:r>
      <w:r>
        <w:t xml:space="preserve">Ordinal logistic regression respects that review scores are RANKED (1 &lt; 2 &lt; 3 &lt; 4 &lt; 5) without assuming the gap between each score is identical — a plain linear regression would incorrectly treat a jump from 1→2 the same as 4→5.</w:t>
      </w:r>
    </w:p>
    <w:tbl>
      <w:tblPr>
        <w:tblW w:type="dxa" w:w="9350"/>
        <w:tblBorders>
          <w:top w:val="single" w:color="1565C0" w:sz="4"/>
          <w:left w:val="single" w:color="1565C0" w:sz="24"/>
          <w:bottom w:val="single" w:color="1565C0" w:sz="4"/>
          <w:right w:val="single" w:color="1565C0" w:sz="4"/>
          <w:insideH w:val="single" w:color="auto" w:sz="4"/>
          <w:insideV w:val="single" w:color="auto" w:sz="4"/>
        </w:tblBorders>
      </w:tblPr>
      <w:tblGrid>
        <w:gridCol w:w="9350"/>
      </w:tblGrid>
      <w:tr>
        <w:tc>
          <w:tcPr>
            <w:tcW w:type="dxa" w:w="9350"/>
            <w:shd w:fill="E3F2FD" w:val="clear"/>
            <w:tcMar>
              <w:top w:type="dxa" w:w="120"/>
              <w:left w:type="dxa" w:w="180"/>
              <w:bottom w:type="dxa" w:w="120"/>
              <w:right w:type="dxa" w:w="180"/>
            </w:tcMar>
          </w:tcPr>
          <w:p>
            <w:pPr>
              <w:spacing w:after="60"/>
            </w:pPr>
            <w:r>
              <w:rPr>
                <w:b/>
                <w:bCs/>
                <w:color w:val="1565C0"/>
                <w:sz w:val="20"/>
                <w:szCs w:val="20"/>
              </w:rPr>
              <w:t xml:space="preserve">TECHNICAL CONCEPT</w:t>
            </w:r>
          </w:p>
          <w:p>
            <w:r>
              <w:rPr>
                <w:color w:val="222222"/>
                <w:sz w:val="21"/>
                <w:szCs w:val="21"/>
              </w:rPr>
              <w:t xml:space="preserve">The first model fit failed to converge because continuous predictors were on very different scales (e.g. order value in the hundreds vs. a 0/1 flag). Standardizing all continuous variables (mean 0, std 1) resolved this without changing the substantive result — a common, expected step in real regression work, not a red flag.</w:t>
            </w:r>
          </w:p>
        </w:tc>
      </w:tr>
    </w:tbl>
    <w:p>
      <w:pPr>
        <w:pStyle w:val="Heading3"/>
        <w:spacing w:after="120" w:before="240"/>
      </w:pPr>
      <w:r>
        <w:t xml:space="preserve">5. Key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EEEEEE" w:val="clear"/>
            <w:tcMar>
              <w:top w:type="dxa" w:w="60"/>
              <w:left w:type="dxa" w:w="100"/>
              <w:bottom w:type="dxa" w:w="60"/>
              <w:right w:type="dxa" w:w="100"/>
            </w:tcMar>
          </w:tcPr>
          <w:p>
            <w:r>
              <w:rPr>
                <w:b/>
                <w:bCs/>
                <w:sz w:val="19"/>
                <w:szCs w:val="19"/>
              </w:rPr>
              <w:t xml:space="preserve">Variable</w:t>
            </w:r>
          </w:p>
        </w:tc>
        <w:tc>
          <w:tcPr>
            <w:tcW w:type="dxa" w:w="2300"/>
            <w:shd w:fill="EEEEEE" w:val="clear"/>
            <w:tcMar>
              <w:top w:type="dxa" w:w="60"/>
              <w:left w:type="dxa" w:w="100"/>
              <w:bottom w:type="dxa" w:w="60"/>
              <w:right w:type="dxa" w:w="100"/>
            </w:tcMar>
          </w:tcPr>
          <w:p>
            <w:r>
              <w:rPr>
                <w:b/>
                <w:bCs/>
                <w:sz w:val="19"/>
                <w:szCs w:val="19"/>
              </w:rPr>
              <w:t xml:space="preserve">Coefficient</w:t>
            </w:r>
          </w:p>
        </w:tc>
        <w:tc>
          <w:tcPr>
            <w:tcW w:type="dxa" w:w="2300"/>
            <w:shd w:fill="EEEEEE" w:val="clear"/>
            <w:tcMar>
              <w:top w:type="dxa" w:w="60"/>
              <w:left w:type="dxa" w:w="100"/>
              <w:bottom w:type="dxa" w:w="60"/>
              <w:right w:type="dxa" w:w="100"/>
            </w:tcMar>
          </w:tcPr>
          <w:p>
            <w:r>
              <w:rPr>
                <w:b/>
                <w:bCs/>
                <w:sz w:val="19"/>
                <w:szCs w:val="19"/>
              </w:rPr>
              <w:t xml:space="preserve">p-value</w:t>
            </w:r>
          </w:p>
        </w:tc>
        <w:tc>
          <w:tcPr>
            <w:tcW w:type="dxa" w:w="2300"/>
            <w:shd w:fill="EEEEEE" w:val="clear"/>
            <w:tcMar>
              <w:top w:type="dxa" w:w="60"/>
              <w:left w:type="dxa" w:w="100"/>
              <w:bottom w:type="dxa" w:w="60"/>
              <w:right w:type="dxa" w:w="100"/>
            </w:tcMar>
          </w:tcPr>
          <w:p>
            <w:r>
              <w:rPr>
                <w:b/>
                <w:bCs/>
                <w:sz w:val="19"/>
                <w:szCs w:val="19"/>
              </w:rPr>
              <w:t xml:space="preserve">Interpretation</w:t>
            </w:r>
          </w:p>
        </w:tc>
      </w:tr>
      <w:tr>
        <w:tc>
          <w:tcPr>
            <w:tcW w:type="dxa" w:w="2300"/>
            <w:tcMar>
              <w:top w:type="dxa" w:w="60"/>
              <w:left w:type="dxa" w:w="100"/>
              <w:bottom w:type="dxa" w:w="60"/>
              <w:right w:type="dxa" w:w="100"/>
            </w:tcMar>
          </w:tcPr>
          <w:p>
            <w:r>
              <w:rPr>
                <w:b w:val="false"/>
                <w:bCs w:val="false"/>
                <w:sz w:val="19"/>
                <w:szCs w:val="19"/>
              </w:rPr>
              <w:t xml:space="preserve">delivery_days</w:t>
            </w:r>
          </w:p>
        </w:tc>
        <w:tc>
          <w:tcPr>
            <w:tcW w:type="dxa" w:w="2300"/>
            <w:tcMar>
              <w:top w:type="dxa" w:w="60"/>
              <w:left w:type="dxa" w:w="100"/>
              <w:bottom w:type="dxa" w:w="60"/>
              <w:right w:type="dxa" w:w="100"/>
            </w:tcMar>
          </w:tcPr>
          <w:p>
            <w:r>
              <w:rPr>
                <w:b w:val="false"/>
                <w:bCs w:val="false"/>
                <w:sz w:val="19"/>
                <w:szCs w:val="19"/>
              </w:rPr>
              <w:t xml:space="preserve">−0.51 (std.)</w:t>
            </w:r>
          </w:p>
        </w:tc>
        <w:tc>
          <w:tcPr>
            <w:tcW w:type="dxa" w:w="2300"/>
            <w:tcMar>
              <w:top w:type="dxa" w:w="60"/>
              <w:left w:type="dxa" w:w="100"/>
              <w:bottom w:type="dxa" w:w="60"/>
              <w:right w:type="dxa" w:w="100"/>
            </w:tcMar>
          </w:tcPr>
          <w:p>
            <w:r>
              <w:rPr>
                <w:b w:val="false"/>
                <w:bCs w:val="false"/>
                <w:sz w:val="19"/>
                <w:szCs w:val="19"/>
              </w:rPr>
              <w:t xml:space="preserve">&lt; 0.001</w:t>
            </w:r>
          </w:p>
        </w:tc>
        <w:tc>
          <w:tcPr>
            <w:tcW w:type="dxa" w:w="2300"/>
            <w:tcMar>
              <w:top w:type="dxa" w:w="60"/>
              <w:left w:type="dxa" w:w="100"/>
              <w:bottom w:type="dxa" w:w="60"/>
              <w:right w:type="dxa" w:w="100"/>
            </w:tcMar>
          </w:tcPr>
          <w:p>
            <w:r>
              <w:rPr>
                <w:b w:val="false"/>
                <w:bCs w:val="false"/>
                <w:sz w:val="19"/>
                <w:szCs w:val="19"/>
              </w:rPr>
              <w:t xml:space="preserve">5.2% lower odds of higher score per extra day</w:t>
            </w:r>
          </w:p>
        </w:tc>
      </w:tr>
      <w:tr>
        <w:tc>
          <w:tcPr>
            <w:tcW w:type="dxa" w:w="2300"/>
            <w:tcMar>
              <w:top w:type="dxa" w:w="60"/>
              <w:left w:type="dxa" w:w="100"/>
              <w:bottom w:type="dxa" w:w="60"/>
              <w:right w:type="dxa" w:w="100"/>
            </w:tcMar>
          </w:tcPr>
          <w:p>
            <w:r>
              <w:rPr>
                <w:b w:val="false"/>
                <w:bCs w:val="false"/>
                <w:sz w:val="19"/>
                <w:szCs w:val="19"/>
              </w:rPr>
              <w:t xml:space="preserve">is_late</w:t>
            </w:r>
          </w:p>
        </w:tc>
        <w:tc>
          <w:tcPr>
            <w:tcW w:type="dxa" w:w="2300"/>
            <w:tcMar>
              <w:top w:type="dxa" w:w="60"/>
              <w:left w:type="dxa" w:w="100"/>
              <w:bottom w:type="dxa" w:w="60"/>
              <w:right w:type="dxa" w:w="100"/>
            </w:tcMar>
          </w:tcPr>
          <w:p>
            <w:r>
              <w:rPr>
                <w:b w:val="false"/>
                <w:bCs w:val="false"/>
                <w:sz w:val="19"/>
                <w:szCs w:val="19"/>
              </w:rPr>
              <w:t xml:space="preserve">−1.30</w:t>
            </w:r>
          </w:p>
        </w:tc>
        <w:tc>
          <w:tcPr>
            <w:tcW w:type="dxa" w:w="2300"/>
            <w:tcMar>
              <w:top w:type="dxa" w:w="60"/>
              <w:left w:type="dxa" w:w="100"/>
              <w:bottom w:type="dxa" w:w="60"/>
              <w:right w:type="dxa" w:w="100"/>
            </w:tcMar>
          </w:tcPr>
          <w:p>
            <w:r>
              <w:rPr>
                <w:b w:val="false"/>
                <w:bCs w:val="false"/>
                <w:sz w:val="19"/>
                <w:szCs w:val="19"/>
              </w:rPr>
              <w:t xml:space="preserve">&lt; 0.001</w:t>
            </w:r>
          </w:p>
        </w:tc>
        <w:tc>
          <w:tcPr>
            <w:tcW w:type="dxa" w:w="2300"/>
            <w:tcMar>
              <w:top w:type="dxa" w:w="60"/>
              <w:left w:type="dxa" w:w="100"/>
              <w:bottom w:type="dxa" w:w="60"/>
              <w:right w:type="dxa" w:w="100"/>
            </w:tcMar>
          </w:tcPr>
          <w:p>
            <w:r>
              <w:rPr>
                <w:b w:val="false"/>
                <w:bCs w:val="false"/>
                <w:sz w:val="19"/>
                <w:szCs w:val="19"/>
              </w:rPr>
              <w:t xml:space="preserve">72.7% lower odds of higher score if late</w:t>
            </w:r>
          </w:p>
        </w:tc>
      </w:tr>
      <w:tr>
        <w:tc>
          <w:tcPr>
            <w:tcW w:type="dxa" w:w="2300"/>
            <w:tcMar>
              <w:top w:type="dxa" w:w="60"/>
              <w:left w:type="dxa" w:w="100"/>
              <w:bottom w:type="dxa" w:w="60"/>
              <w:right w:type="dxa" w:w="100"/>
            </w:tcMar>
          </w:tcPr>
          <w:p>
            <w:r>
              <w:rPr>
                <w:b w:val="false"/>
                <w:bCs w:val="false"/>
                <w:sz w:val="19"/>
                <w:szCs w:val="19"/>
              </w:rPr>
              <w:t xml:space="preserve">avg_distance_km</w:t>
            </w:r>
          </w:p>
        </w:tc>
        <w:tc>
          <w:tcPr>
            <w:tcW w:type="dxa" w:w="2300"/>
            <w:tcMar>
              <w:top w:type="dxa" w:w="60"/>
              <w:left w:type="dxa" w:w="100"/>
              <w:bottom w:type="dxa" w:w="60"/>
              <w:right w:type="dxa" w:w="100"/>
            </w:tcMar>
          </w:tcPr>
          <w:p>
            <w:r>
              <w:rPr>
                <w:b w:val="false"/>
                <w:bCs w:val="false"/>
                <w:sz w:val="19"/>
                <w:szCs w:val="19"/>
              </w:rPr>
              <w:t xml:space="preserve">+0.03 (std.)</w:t>
            </w:r>
          </w:p>
        </w:tc>
        <w:tc>
          <w:tcPr>
            <w:tcW w:type="dxa" w:w="2300"/>
            <w:tcMar>
              <w:top w:type="dxa" w:w="60"/>
              <w:left w:type="dxa" w:w="100"/>
              <w:bottom w:type="dxa" w:w="60"/>
              <w:right w:type="dxa" w:w="100"/>
            </w:tcMar>
          </w:tcPr>
          <w:p>
            <w:r>
              <w:rPr>
                <w:b w:val="false"/>
                <w:bCs w:val="false"/>
                <w:sz w:val="19"/>
                <w:szCs w:val="19"/>
              </w:rPr>
              <w:t xml:space="preserve">0.010</w:t>
            </w:r>
          </w:p>
        </w:tc>
        <w:tc>
          <w:tcPr>
            <w:tcW w:type="dxa" w:w="2300"/>
            <w:tcMar>
              <w:top w:type="dxa" w:w="60"/>
              <w:left w:type="dxa" w:w="100"/>
              <w:bottom w:type="dxa" w:w="60"/>
              <w:right w:type="dxa" w:w="100"/>
            </w:tcMar>
          </w:tcPr>
          <w:p>
            <w:r>
              <w:rPr>
                <w:b w:val="false"/>
                <w:bCs w:val="false"/>
                <w:sz w:val="19"/>
                <w:szCs w:val="19"/>
              </w:rPr>
              <w:t xml:space="preserve">Small, opposite-direction effect once time is controlled</w:t>
            </w:r>
          </w:p>
        </w:tc>
      </w:tr>
      <w:tr>
        <w:tc>
          <w:tcPr>
            <w:tcW w:type="dxa" w:w="2300"/>
            <w:tcMar>
              <w:top w:type="dxa" w:w="60"/>
              <w:left w:type="dxa" w:w="100"/>
              <w:bottom w:type="dxa" w:w="60"/>
              <w:right w:type="dxa" w:w="100"/>
            </w:tcMar>
          </w:tcPr>
          <w:p>
            <w:r>
              <w:rPr>
                <w:b w:val="false"/>
                <w:bCs w:val="false"/>
                <w:sz w:val="19"/>
                <w:szCs w:val="19"/>
              </w:rPr>
              <w:t xml:space="preserve">item_count</w:t>
            </w:r>
          </w:p>
        </w:tc>
        <w:tc>
          <w:tcPr>
            <w:tcW w:type="dxa" w:w="2300"/>
            <w:tcMar>
              <w:top w:type="dxa" w:w="60"/>
              <w:left w:type="dxa" w:w="100"/>
              <w:bottom w:type="dxa" w:w="60"/>
              <w:right w:type="dxa" w:w="100"/>
            </w:tcMar>
          </w:tcPr>
          <w:p>
            <w:r>
              <w:rPr>
                <w:b w:val="false"/>
                <w:bCs w:val="false"/>
                <w:sz w:val="19"/>
                <w:szCs w:val="19"/>
              </w:rPr>
              <w:t xml:space="preserve">−0.22 (std.)</w:t>
            </w:r>
          </w:p>
        </w:tc>
        <w:tc>
          <w:tcPr>
            <w:tcW w:type="dxa" w:w="2300"/>
            <w:tcMar>
              <w:top w:type="dxa" w:w="60"/>
              <w:left w:type="dxa" w:w="100"/>
              <w:bottom w:type="dxa" w:w="60"/>
              <w:right w:type="dxa" w:w="100"/>
            </w:tcMar>
          </w:tcPr>
          <w:p>
            <w:r>
              <w:rPr>
                <w:b w:val="false"/>
                <w:bCs w:val="false"/>
                <w:sz w:val="19"/>
                <w:szCs w:val="19"/>
              </w:rPr>
              <w:t xml:space="preserve">&lt; 0.001</w:t>
            </w:r>
          </w:p>
        </w:tc>
        <w:tc>
          <w:tcPr>
            <w:tcW w:type="dxa" w:w="2300"/>
            <w:tcMar>
              <w:top w:type="dxa" w:w="60"/>
              <w:left w:type="dxa" w:w="100"/>
              <w:bottom w:type="dxa" w:w="60"/>
              <w:right w:type="dxa" w:w="100"/>
            </w:tcMar>
          </w:tcPr>
          <w:p>
            <w:r>
              <w:rPr>
                <w:b w:val="false"/>
                <w:bCs w:val="false"/>
                <w:sz w:val="19"/>
                <w:szCs w:val="19"/>
              </w:rPr>
              <w:t xml:space="preserve">More items independently lowers satisfaction</w:t>
            </w:r>
          </w:p>
        </w:tc>
      </w:tr>
      <w:tr>
        <w:tc>
          <w:tcPr>
            <w:tcW w:type="dxa" w:w="2300"/>
            <w:tcMar>
              <w:top w:type="dxa" w:w="60"/>
              <w:left w:type="dxa" w:w="100"/>
              <w:bottom w:type="dxa" w:w="60"/>
              <w:right w:type="dxa" w:w="100"/>
            </w:tcMar>
          </w:tcPr>
          <w:p>
            <w:r>
              <w:rPr>
                <w:b w:val="false"/>
                <w:bCs w:val="false"/>
                <w:sz w:val="19"/>
                <w:szCs w:val="19"/>
              </w:rPr>
              <w:t xml:space="preserve">order_value</w:t>
            </w:r>
          </w:p>
        </w:tc>
        <w:tc>
          <w:tcPr>
            <w:tcW w:type="dxa" w:w="2300"/>
            <w:tcMar>
              <w:top w:type="dxa" w:w="60"/>
              <w:left w:type="dxa" w:w="100"/>
              <w:bottom w:type="dxa" w:w="60"/>
              <w:right w:type="dxa" w:w="100"/>
            </w:tcMar>
          </w:tcPr>
          <w:p>
            <w:r>
              <w:rPr>
                <w:b w:val="false"/>
                <w:bCs w:val="false"/>
                <w:sz w:val="19"/>
                <w:szCs w:val="19"/>
              </w:rPr>
              <w:t xml:space="preserve">+0.01 (std.)</w:t>
            </w:r>
          </w:p>
        </w:tc>
        <w:tc>
          <w:tcPr>
            <w:tcW w:type="dxa" w:w="2300"/>
            <w:tcMar>
              <w:top w:type="dxa" w:w="60"/>
              <w:left w:type="dxa" w:w="100"/>
              <w:bottom w:type="dxa" w:w="60"/>
              <w:right w:type="dxa" w:w="100"/>
            </w:tcMar>
          </w:tcPr>
          <w:p>
            <w:r>
              <w:rPr>
                <w:b w:val="false"/>
                <w:bCs w:val="false"/>
                <w:sz w:val="19"/>
                <w:szCs w:val="19"/>
              </w:rPr>
              <w:t xml:space="preserve">0.192</w:t>
            </w:r>
          </w:p>
        </w:tc>
        <w:tc>
          <w:tcPr>
            <w:tcW w:type="dxa" w:w="2300"/>
            <w:tcMar>
              <w:top w:type="dxa" w:w="60"/>
              <w:left w:type="dxa" w:w="100"/>
              <w:bottom w:type="dxa" w:w="60"/>
              <w:right w:type="dxa" w:w="100"/>
            </w:tcMar>
          </w:tcPr>
          <w:p>
            <w:r>
              <w:rPr>
                <w:b w:val="false"/>
                <w:bCs w:val="false"/>
                <w:sz w:val="19"/>
                <w:szCs w:val="19"/>
              </w:rPr>
              <w:t xml:space="preserve">Not statistically significant</w:t>
            </w:r>
          </w:p>
        </w:tc>
      </w:tr>
      <w:tr>
        <w:tc>
          <w:tcPr>
            <w:tcW w:type="dxa" w:w="2300"/>
            <w:tcMar>
              <w:top w:type="dxa" w:w="60"/>
              <w:left w:type="dxa" w:w="100"/>
              <w:bottom w:type="dxa" w:w="60"/>
              <w:right w:type="dxa" w:w="100"/>
            </w:tcMar>
          </w:tcPr>
          <w:p>
            <w:r>
              <w:rPr>
                <w:b w:val="false"/>
                <w:bCs w:val="false"/>
                <w:sz w:val="19"/>
                <w:szCs w:val="19"/>
              </w:rPr>
              <w:t xml:space="preserve">freight_value</w:t>
            </w:r>
          </w:p>
        </w:tc>
        <w:tc>
          <w:tcPr>
            <w:tcW w:type="dxa" w:w="2300"/>
            <w:tcMar>
              <w:top w:type="dxa" w:w="60"/>
              <w:left w:type="dxa" w:w="100"/>
              <w:bottom w:type="dxa" w:w="60"/>
              <w:right w:type="dxa" w:w="100"/>
            </w:tcMar>
          </w:tcPr>
          <w:p>
            <w:r>
              <w:rPr>
                <w:b w:val="false"/>
                <w:bCs w:val="false"/>
                <w:sz w:val="19"/>
                <w:szCs w:val="19"/>
              </w:rPr>
              <w:t xml:space="preserve">−0.01 (std.)</w:t>
            </w:r>
          </w:p>
        </w:tc>
        <w:tc>
          <w:tcPr>
            <w:tcW w:type="dxa" w:w="2300"/>
            <w:tcMar>
              <w:top w:type="dxa" w:w="60"/>
              <w:left w:type="dxa" w:w="100"/>
              <w:bottom w:type="dxa" w:w="60"/>
              <w:right w:type="dxa" w:w="100"/>
            </w:tcMar>
          </w:tcPr>
          <w:p>
            <w:r>
              <w:rPr>
                <w:b w:val="false"/>
                <w:bCs w:val="false"/>
                <w:sz w:val="19"/>
                <w:szCs w:val="19"/>
              </w:rPr>
              <w:t xml:space="preserve">0.336</w:t>
            </w:r>
          </w:p>
        </w:tc>
        <w:tc>
          <w:tcPr>
            <w:tcW w:type="dxa" w:w="2300"/>
            <w:tcMar>
              <w:top w:type="dxa" w:w="60"/>
              <w:left w:type="dxa" w:w="100"/>
              <w:bottom w:type="dxa" w:w="60"/>
              <w:right w:type="dxa" w:w="100"/>
            </w:tcMar>
          </w:tcPr>
          <w:p>
            <w:r>
              <w:rPr>
                <w:b w:val="false"/>
                <w:bCs w:val="false"/>
                <w:sz w:val="19"/>
                <w:szCs w:val="19"/>
              </w:rPr>
              <w:t xml:space="preserve">Not statistically significant</w:t>
            </w:r>
          </w:p>
        </w:tc>
      </w:tr>
    </w:tbl>
    <w:p>
      <w:pPr>
        <w:spacing w:after="200"/>
      </w:pP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The central hypothesis of the project is confirmed: delivery speed and lateness both remain strong, statistically significant predictors of customer satisfaction even after controlling for distance, order economics, category, and region. This directly answers the skeptical question raised by the Phase 2 naive baseline — the pattern is not fully explained by confounding.</w:t>
            </w:r>
          </w:p>
        </w:tc>
      </w:tr>
    </w:tbl>
    <w:p>
      <w:pPr>
        <w:spacing w:after="120"/>
      </w:pP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Lateness matters far more than raw duration: a late order has 72.7% lower odds of a higher review score than an on-time order, holding delivery duration itself constant. This confirms the "expectation management" insight first noticed in Phase 3 — meeting the PROMISED date matters more than being fast in absolute terms.</w:t>
            </w:r>
          </w:p>
        </w:tc>
      </w:tr>
    </w:tbl>
    <w:p>
      <w:pPr>
        <w:spacing w:after="120"/>
      </w:pP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New finding: item_count independently and significantly predicts lower satisfaction, even controlling for order value. This suggests multi-item orders carry additional satisfaction risk (e.g. partial arrivals, packaging issues) unrelated to delivery speed — a genuinely new, non-obvious insight from the modeling stage.</w:t>
            </w:r>
          </w:p>
        </w:tc>
      </w:tr>
    </w:tbl>
    <w:p>
      <w:pPr>
        <w:spacing w:after="12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c>
          <w:tcPr>
            <w:tcW w:type="dxa" w:w="9350"/>
            <w:shd w:fill="FFF8E1" w:val="clear"/>
            <w:tcMar>
              <w:top w:type="dxa" w:w="120"/>
              <w:left w:type="dxa" w:w="180"/>
              <w:bottom w:type="dxa" w:w="120"/>
              <w:right w:type="dxa" w:w="180"/>
            </w:tcMar>
          </w:tcPr>
          <w:p>
            <w:pPr>
              <w:spacing w:after="60"/>
            </w:pPr>
            <w:r>
              <w:rPr>
                <w:b/>
                <w:bCs/>
                <w:color w:val="8A6D00"/>
                <w:sz w:val="20"/>
                <w:szCs w:val="20"/>
              </w:rPr>
              <w:t xml:space="preserve">DATA QUALITY NOTE</w:t>
            </w:r>
          </w:p>
          <w:p>
            <w:r>
              <w:rPr>
                <w:color w:val="222222"/>
                <w:sz w:val="21"/>
                <w:szCs w:val="21"/>
              </w:rPr>
              <w:t xml:space="preserve">avg_distance_km showed a small POSITIVE association with satisfaction once delivery time and lateness were controlled — counter to naive intuition. The effect size is small and should not be overstated; it suggests distance itself isn't the customer's real concern once expectations are met.</w:t>
            </w:r>
          </w:p>
        </w:tc>
      </w:tr>
    </w:tbl>
    <w:p>
      <w:pPr>
        <w:pStyle w:val="Heading3"/>
        <w:spacing w:after="120" w:before="240"/>
      </w:pPr>
      <w:r>
        <w:t xml:space="preserve">6. Stratified Check: Does the Effect Vary by Category? (H4)</w:t>
      </w:r>
    </w:p>
    <w:p>
      <w:pPr>
        <w:spacing w:after="160"/>
      </w:pPr>
      <w:r>
        <w:rPr>
          <w:b/>
          <w:bCs/>
        </w:rPr>
        <w:t xml:space="preserve">Technical: </w:t>
      </w:r>
      <w:r>
        <w:t xml:space="preserve">Added delivery_days × category interaction terms to test whether delivery's effect size differs across product categories, rather than comparing raw averages.</w:t>
      </w:r>
    </w:p>
    <w:tbl>
      <w:tblPr>
        <w:tblW w:type="dxa" w:w="9350"/>
        <w:tblBorders>
          <w:top w:val="single" w:color="1565C0" w:sz="4"/>
          <w:left w:val="single" w:color="1565C0" w:sz="24"/>
          <w:bottom w:val="single" w:color="1565C0" w:sz="4"/>
          <w:right w:val="single" w:color="1565C0" w:sz="4"/>
          <w:insideH w:val="single" w:color="auto" w:sz="4"/>
          <w:insideV w:val="single" w:color="auto" w:sz="4"/>
        </w:tblBorders>
      </w:tblPr>
      <w:tblGrid>
        <w:gridCol w:w="9350"/>
      </w:tblGrid>
      <w:tr>
        <w:tc>
          <w:tcPr>
            <w:tcW w:type="dxa" w:w="9350"/>
            <w:shd w:fill="E3F2FD" w:val="clear"/>
            <w:tcMar>
              <w:top w:type="dxa" w:w="120"/>
              <w:left w:type="dxa" w:w="180"/>
              <w:bottom w:type="dxa" w:w="120"/>
              <w:right w:type="dxa" w:w="180"/>
            </w:tcMar>
          </w:tcPr>
          <w:p>
            <w:pPr>
              <w:spacing w:after="60"/>
            </w:pPr>
            <w:r>
              <w:rPr>
                <w:b/>
                <w:bCs/>
                <w:color w:val="1565C0"/>
                <w:sz w:val="20"/>
                <w:szCs w:val="20"/>
              </w:rPr>
              <w:t xml:space="preserve">TECHNICAL CONCEPT</w:t>
            </w:r>
          </w:p>
          <w:p>
            <w:r>
              <w:rPr>
                <w:color w:val="222222"/>
                <w:sz w:val="21"/>
                <w:szCs w:val="21"/>
              </w:rPr>
              <w:t xml:space="preserve">Three categories (toys, health_beauty, sports_leisure) showed nominally significant interactions (p &lt; 0.05) suggesting higher delivery-sensitivity than average. However, running 15 simultaneous tests inflates the chance of false positives (the multiple comparisons problem) — applying a Bonferroni-corrected threshold (0.05 ÷ 15 ≈ 0.0033), none of the three survive. Honest conclusion: delivery speed's effect is broadly UNIFORM across categories; the three flagged categories are a lead for future investigation, not a confirmed finding.</w:t>
            </w:r>
          </w:p>
        </w:tc>
      </w:tr>
    </w:tbl>
    <w:p>
      <w:pPr>
        <w:spacing w:after="200"/>
      </w:pPr>
    </w:p>
    <w:p>
      <w:pPr>
        <w:pStyle w:val="Heading2"/>
        <w:spacing w:after="160" w:before="360"/>
      </w:pPr>
      <w:r>
        <w:t xml:space="preserve">Summary: What This Demonstrates</w:t>
      </w:r>
    </w:p>
    <w:p>
      <w:pPr>
        <w:pStyle w:val="ListParagraph"/>
        <w:numPr>
          <w:ilvl w:val="0"/>
          <w:numId w:val="2"/>
        </w:numPr>
        <w:spacing w:after="80"/>
      </w:pPr>
      <w:r>
        <w:t xml:space="preserve">Building a geospatial confounder from scratch (Haversine distance) rather than treating an incomplete feature set as good enough</w:t>
      </w:r>
    </w:p>
    <w:p>
      <w:pPr>
        <w:pStyle w:val="ListParagraph"/>
        <w:numPr>
          <w:ilvl w:val="0"/>
          <w:numId w:val="2"/>
        </w:numPr>
        <w:spacing w:after="80"/>
      </w:pPr>
      <w:r>
        <w:t xml:space="preserve">Ordinal logistic regression, chosen deliberately to match the outcome's actual measurement scale</w:t>
      </w:r>
    </w:p>
    <w:p>
      <w:pPr>
        <w:pStyle w:val="ListParagraph"/>
        <w:numPr>
          <w:ilvl w:val="0"/>
          <w:numId w:val="2"/>
        </w:numPr>
        <w:spacing w:after="80"/>
      </w:pPr>
      <w:r>
        <w:t xml:space="preserve">Diagnosing and resolving a real convergence failure through standardization, not by ignoring the warning</w:t>
      </w:r>
    </w:p>
    <w:p>
      <w:pPr>
        <w:pStyle w:val="ListParagraph"/>
        <w:numPr>
          <w:ilvl w:val="0"/>
          <w:numId w:val="2"/>
        </w:numPr>
        <w:spacing w:after="80"/>
      </w:pPr>
      <w:r>
        <w:t xml:space="preserve">Formal multicollinearity testing (VIF) that resolved a concern flagged two phases earlier</w:t>
      </w:r>
    </w:p>
    <w:p>
      <w:pPr>
        <w:pStyle w:val="ListParagraph"/>
        <w:numPr>
          <w:ilvl w:val="0"/>
          <w:numId w:val="2"/>
        </w:numPr>
        <w:spacing w:after="80"/>
      </w:pPr>
      <w:r>
        <w:t xml:space="preserve">Correctly applying multiple-comparisons correction rather than overstating an interesting-looking p-value</w:t>
      </w:r>
    </w:p>
    <w:p>
      <w:pPr>
        <w:pStyle w:val="ListParagraph"/>
        <w:numPr>
          <w:ilvl w:val="0"/>
          <w:numId w:val="2"/>
        </w:numPr>
        <w:spacing w:after="80"/>
      </w:pPr>
      <w:r>
        <w:t xml:space="preserve">Translating standardized regression coefficients into concrete, quotable, plain-English effect sizes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2026-09-05T14:21:44.479Z</dcterms:created>
  <dcterms:modified xsi:type="dcterms:W3CDTF">2026-09-05T14:21:44.489Z</dcterms:modified>
</cp:coreProperties>
</file>

<file path=docProps/custom.xml><?xml version="1.0" encoding="utf-8"?>
<Properties xmlns="http://schemas.openxmlformats.org/officeDocument/2006/custom-properties" xmlns:vt="http://schemas.openxmlformats.org/officeDocument/2006/docPropsVTypes"/>
</file>