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Olist E-Commerce Analysis</w:t>
      </w:r>
    </w:p>
    <w:p>
      <w:pPr>
        <w:pStyle w:val="Heading1"/>
        <w:spacing w:after="240"/>
      </w:pPr>
      <w:r>
        <w:t xml:space="preserve">Reference Document: Phase 5 (Statistical Inference)</w:t>
      </w:r>
    </w:p>
    <w:p>
      <w:pPr>
        <w:spacing w:after="160"/>
      </w:pPr>
      <w:r>
        <w:t xml:space="preserve">This document summarizes Phase 5: confirming the Phase 4 regression findings through confidence intervals, independent non-parametric hypothesis tests, and a formal likelihood ratio test — closing out the statistical rigor of the causal analysis.</w:t>
      </w:r>
    </w:p>
    <w:p>
      <w:pPr>
        <w:pStyle w:val="Heading3"/>
        <w:spacing w:after="120" w:before="240"/>
      </w:pPr>
      <w:r>
        <w:t xml:space="preserve">Color Legend</w:t>
      </w:r>
    </w:p>
    <w:tbl>
      <w:tblPr>
        <w:tblW w:type="dxa" w:w="9350"/>
        <w:tblBorders>
          <w:top w:val="single" w:color="2E7D32" w:sz="4"/>
          <w:left w:val="single" w:color="2E7D32" w:sz="24"/>
          <w:bottom w:val="single" w:color="2E7D32" w:sz="4"/>
          <w:right w:val="single" w:color="2E7D32" w:sz="4"/>
          <w:insideH w:val="single" w:color="auto" w:sz="4"/>
          <w:insideV w:val="single" w:color="auto" w:sz="4"/>
        </w:tblBorders>
      </w:tblPr>
      <w:tblGrid>
        <w:gridCol w:w="9350"/>
      </w:tblGrid>
      <w:tr>
        <w:tc>
          <w:tcPr>
            <w:tcW w:type="dxa" w:w="9350"/>
            <w:shd w:fill="E8F5E9" w:val="clear"/>
            <w:tcMar>
              <w:top w:type="dxa" w:w="120"/>
              <w:left w:type="dxa" w:w="180"/>
              <w:bottom w:type="dxa" w:w="120"/>
              <w:right w:type="dxa" w:w="180"/>
            </w:tcMar>
          </w:tcPr>
          <w:p>
            <w:pPr>
              <w:spacing w:after="60"/>
            </w:pPr>
            <w:r>
              <w:rPr>
                <w:b/>
                <w:bCs/>
                <w:color w:val="2E7D32"/>
                <w:sz w:val="20"/>
                <w:szCs w:val="20"/>
              </w:rPr>
              <w:t xml:space="preserve">CLEAN / VALIDATED</w:t>
            </w:r>
          </w:p>
          <w:p>
            <w:r>
              <w:rPr>
                <w:color w:val="222222"/>
                <w:sz w:val="21"/>
                <w:szCs w:val="21"/>
              </w:rPr>
              <w:t xml:space="preserve">The check passed, or the result confirms data integrity — no issue found.</w:t>
            </w:r>
          </w:p>
        </w:tc>
      </w:tr>
    </w:tbl>
    <w:p>
      <w:pPr>
        <w:spacing w:after="12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c>
          <w:tcPr>
            <w:tcW w:type="dxa" w:w="9350"/>
            <w:shd w:fill="FFF8E1" w:val="clear"/>
            <w:tcMar>
              <w:top w:type="dxa" w:w="120"/>
              <w:left w:type="dxa" w:w="180"/>
              <w:bottom w:type="dxa" w:w="120"/>
              <w:right w:type="dxa" w:w="180"/>
            </w:tcMar>
          </w:tcPr>
          <w:p>
            <w:pPr>
              <w:spacing w:after="60"/>
            </w:pPr>
            <w:r>
              <w:rPr>
                <w:b/>
                <w:bCs/>
                <w:color w:val="8A6D00"/>
                <w:sz w:val="20"/>
                <w:szCs w:val="20"/>
              </w:rPr>
              <w:t xml:space="preserve">DATA QUALITY NOTE</w:t>
            </w:r>
          </w:p>
          <w:p>
            <w:r>
              <w:rPr>
                <w:color w:val="222222"/>
                <w:sz w:val="21"/>
                <w:szCs w:val="21"/>
              </w:rPr>
              <w:t xml:space="preserve">A real quirk or limitation in the data that we identified, understood, and handled deliberately.</w:t>
            </w:r>
          </w:p>
        </w:tc>
      </w:tr>
    </w:tbl>
    <w:p>
      <w:pPr>
        <w:spacing w:after="120"/>
      </w:pPr>
    </w:p>
    <w:tbl>
      <w:tblPr>
        <w:tblW w:type="dxa" w:w="9350"/>
        <w:tblBorders>
          <w:top w:val="single" w:color="B71C1C" w:sz="4"/>
          <w:left w:val="single" w:color="B71C1C" w:sz="24"/>
          <w:bottom w:val="single" w:color="B71C1C" w:sz="4"/>
          <w:right w:val="single" w:color="B71C1C" w:sz="4"/>
          <w:insideH w:val="single" w:color="auto" w:sz="4"/>
          <w:insideV w:val="single" w:color="auto" w:sz="4"/>
        </w:tblBorders>
      </w:tblPr>
      <w:tblGrid>
        <w:gridCol w:w="9350"/>
      </w:tblGrid>
      <w:tr>
        <w:tc>
          <w:tcPr>
            <w:tcW w:type="dxa" w:w="9350"/>
            <w:shd w:fill="FDECEA" w:val="clear"/>
            <w:tcMar>
              <w:top w:type="dxa" w:w="120"/>
              <w:left w:type="dxa" w:w="180"/>
              <w:bottom w:type="dxa" w:w="120"/>
              <w:right w:type="dxa" w:w="180"/>
            </w:tcMar>
          </w:tcPr>
          <w:p>
            <w:pPr>
              <w:spacing w:after="60"/>
            </w:pPr>
            <w:r>
              <w:rPr>
                <w:b/>
                <w:bCs/>
                <w:color w:val="B71C1C"/>
                <w:sz w:val="20"/>
                <w:szCs w:val="20"/>
              </w:rPr>
              <w:t xml:space="preserve">BUSINESS FINDING</w:t>
            </w:r>
          </w:p>
          <w:p>
            <w:r>
              <w:rPr>
                <w:color w:val="222222"/>
                <w:sz w:val="21"/>
                <w:szCs w:val="21"/>
              </w:rPr>
              <w:t xml:space="preserve">An analytical result with real business implications — worth highlighting in a resume, interview, or executive summary.</w:t>
            </w:r>
          </w:p>
        </w:tc>
      </w:tr>
    </w:tbl>
    <w:p>
      <w:pPr>
        <w:spacing w:after="120"/>
      </w:pPr>
    </w:p>
    <w:tbl>
      <w:tblPr>
        <w:tblW w:type="dxa" w:w="9350"/>
        <w:tblBorders>
          <w:top w:val="single" w:color="1565C0" w:sz="4"/>
          <w:left w:val="single" w:color="1565C0" w:sz="24"/>
          <w:bottom w:val="single" w:color="1565C0" w:sz="4"/>
          <w:right w:val="single" w:color="1565C0" w:sz="4"/>
          <w:insideH w:val="single" w:color="auto" w:sz="4"/>
          <w:insideV w:val="single" w:color="auto" w:sz="4"/>
        </w:tblBorders>
      </w:tblPr>
      <w:tblGrid>
        <w:gridCol w:w="9350"/>
      </w:tblGrid>
      <w:tr>
        <w:tc>
          <w:tcPr>
            <w:tcW w:type="dxa" w:w="9350"/>
            <w:shd w:fill="E3F2FD" w:val="clear"/>
            <w:tcMar>
              <w:top w:type="dxa" w:w="120"/>
              <w:left w:type="dxa" w:w="180"/>
              <w:bottom w:type="dxa" w:w="120"/>
              <w:right w:type="dxa" w:w="180"/>
            </w:tcMar>
          </w:tcPr>
          <w:p>
            <w:pPr>
              <w:spacing w:after="60"/>
            </w:pPr>
            <w:r>
              <w:rPr>
                <w:b/>
                <w:bCs/>
                <w:color w:val="1565C0"/>
                <w:sz w:val="20"/>
                <w:szCs w:val="20"/>
              </w:rPr>
              <w:t xml:space="preserve">TECHNICAL CONCEPT</w:t>
            </w:r>
          </w:p>
          <w:p>
            <w:r>
              <w:rPr>
                <w:color w:val="222222"/>
                <w:sz w:val="21"/>
                <w:szCs w:val="21"/>
              </w:rPr>
              <w:t xml:space="preserve">A statistical or technical concept worth understanding and being able to explain, not just a result.</w:t>
            </w:r>
          </w:p>
        </w:tc>
      </w:tr>
    </w:tbl>
    <w:p>
      <w:pPr>
        <w:spacing w:after="240"/>
      </w:pPr>
    </w:p>
    <w:p>
      <w:pPr>
        <w:pStyle w:val="Heading2"/>
        <w:spacing w:after="160" w:before="360"/>
      </w:pPr>
      <w:r>
        <w:t xml:space="preserve">Phase 5 — Statistical Inference</w:t>
      </w:r>
    </w:p>
    <w:p>
      <w:pPr>
        <w:spacing w:after="160"/>
      </w:pPr>
      <w:r>
        <w:t xml:space="preserve">Goal: move beyond point estimates and single p-values to confirm the Phase 4 findings are statistically sound from multiple independent angles — confidence intervals, non-parametric tests that make no distributional assumptions, and a formal model comparison.</w:t>
      </w:r>
    </w:p>
    <w:p>
      <w:pPr>
        <w:pStyle w:val="Heading3"/>
        <w:spacing w:after="120" w:before="240"/>
      </w:pPr>
      <w:r>
        <w:t xml:space="preserve">1. Confidence Intervals on Key Coefficients</w:t>
      </w:r>
    </w:p>
    <w:p>
      <w:pPr>
        <w:spacing w:after="160"/>
      </w:pPr>
      <w:r>
        <w:rPr>
          <w:b/>
          <w:bCs/>
        </w:rPr>
        <w:t xml:space="preserve">Technical: </w:t>
      </w:r>
      <w:r>
        <w:t xml:space="preserve">Computed 95% confidence intervals for delivery_days, is_late, avg_distance_km, and item_count, converting standardized coefficients into interpretable odds ratios and percent-change-in-odds figures.</w:t>
      </w:r>
    </w:p>
    <w:p>
      <w:pPr>
        <w:spacing w:after="160"/>
      </w:pPr>
      <w:r>
        <w:rPr>
          <w:b/>
          <w:bCs/>
        </w:rPr>
        <w:t xml:space="preserve">In plain terms: </w:t>
      </w:r>
      <w:r>
        <w:t xml:space="preserve">A p-value tells you IF an effect is real; a confidence interval tells you the plausible RANGE of how big it actually is — the range is what you'd actually put in a business recommendation, not just "statistically significant."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2300"/>
            <w:shd w:fill="EEEEEE" w:val="clear"/>
            <w:tcMar>
              <w:top w:type="dxa" w:w="60"/>
              <w:left w:type="dxa" w:w="100"/>
              <w:bottom w:type="dxa" w:w="60"/>
              <w:right w:type="dxa" w:w="100"/>
            </w:tcMar>
          </w:tcPr>
          <w:p>
            <w:r>
              <w:rPr>
                <w:b/>
                <w:bCs/>
                <w:sz w:val="19"/>
                <w:szCs w:val="19"/>
              </w:rPr>
              <w:t xml:space="preserve">Variable</w:t>
            </w:r>
          </w:p>
        </w:tc>
        <w:tc>
          <w:tcPr>
            <w:tcW w:type="dxa" w:w="2300"/>
            <w:shd w:fill="EEEEEE" w:val="clear"/>
            <w:tcMar>
              <w:top w:type="dxa" w:w="60"/>
              <w:left w:type="dxa" w:w="100"/>
              <w:bottom w:type="dxa" w:w="60"/>
              <w:right w:type="dxa" w:w="100"/>
            </w:tcMar>
          </w:tcPr>
          <w:p>
            <w:r>
              <w:rPr>
                <w:b/>
                <w:bCs/>
                <w:sz w:val="19"/>
                <w:szCs w:val="19"/>
              </w:rPr>
              <w:t xml:space="preserve">% Change in Odds</w:t>
            </w:r>
          </w:p>
        </w:tc>
        <w:tc>
          <w:tcPr>
            <w:tcW w:type="dxa" w:w="2300"/>
            <w:shd w:fill="EEEEEE" w:val="clear"/>
            <w:tcMar>
              <w:top w:type="dxa" w:w="60"/>
              <w:left w:type="dxa" w:w="100"/>
              <w:bottom w:type="dxa" w:w="60"/>
              <w:right w:type="dxa" w:w="100"/>
            </w:tcMar>
          </w:tcPr>
          <w:p>
            <w:r>
              <w:rPr>
                <w:b/>
                <w:bCs/>
                <w:sz w:val="19"/>
                <w:szCs w:val="19"/>
              </w:rPr>
              <w:t xml:space="preserve">95% CI</w:t>
            </w:r>
          </w:p>
        </w:tc>
      </w:tr>
      <w:tr>
        <w:tc>
          <w:tcPr>
            <w:tcW w:type="dxa" w:w="2300"/>
            <w:tcMar>
              <w:top w:type="dxa" w:w="60"/>
              <w:left w:type="dxa" w:w="100"/>
              <w:bottom w:type="dxa" w:w="60"/>
              <w:right w:type="dxa" w:w="100"/>
            </w:tcMar>
          </w:tcPr>
          <w:p>
            <w:r>
              <w:rPr>
                <w:b w:val="false"/>
                <w:bCs w:val="false"/>
                <w:sz w:val="19"/>
                <w:szCs w:val="19"/>
              </w:rPr>
              <w:t xml:space="preserve">delivery_days (per 1 SD)</w:t>
            </w:r>
          </w:p>
        </w:tc>
        <w:tc>
          <w:tcPr>
            <w:tcW w:type="dxa" w:w="2300"/>
            <w:tcMar>
              <w:top w:type="dxa" w:w="60"/>
              <w:left w:type="dxa" w:w="100"/>
              <w:bottom w:type="dxa" w:w="60"/>
              <w:right w:type="dxa" w:w="100"/>
            </w:tcMar>
          </w:tcPr>
          <w:p>
            <w:r>
              <w:rPr>
                <w:b w:val="false"/>
                <w:bCs w:val="false"/>
                <w:sz w:val="19"/>
                <w:szCs w:val="19"/>
              </w:rPr>
              <w:t xml:space="preserve">−39.9%</w:t>
            </w:r>
          </w:p>
        </w:tc>
        <w:tc>
          <w:tcPr>
            <w:tcW w:type="dxa" w:w="2300"/>
            <w:tcMar>
              <w:top w:type="dxa" w:w="60"/>
              <w:left w:type="dxa" w:w="100"/>
              <w:bottom w:type="dxa" w:w="60"/>
              <w:right w:type="dxa" w:w="100"/>
            </w:tcMar>
          </w:tcPr>
          <w:p>
            <w:r>
              <w:rPr>
                <w:b w:val="false"/>
                <w:bCs w:val="false"/>
                <w:sz w:val="19"/>
                <w:szCs w:val="19"/>
              </w:rPr>
              <w:t xml:space="preserve">−41.1% to −38.6%</w:t>
            </w:r>
          </w:p>
        </w:tc>
      </w:tr>
      <w:tr>
        <w:tc>
          <w:tcPr>
            <w:tcW w:type="dxa" w:w="2300"/>
            <w:tcMar>
              <w:top w:type="dxa" w:w="60"/>
              <w:left w:type="dxa" w:w="100"/>
              <w:bottom w:type="dxa" w:w="60"/>
              <w:right w:type="dxa" w:w="100"/>
            </w:tcMar>
          </w:tcPr>
          <w:p>
            <w:r>
              <w:rPr>
                <w:b w:val="false"/>
                <w:bCs w:val="false"/>
                <w:sz w:val="19"/>
                <w:szCs w:val="19"/>
              </w:rPr>
              <w:t xml:space="preserve">is_late</w:t>
            </w:r>
          </w:p>
        </w:tc>
        <w:tc>
          <w:tcPr>
            <w:tcW w:type="dxa" w:w="2300"/>
            <w:tcMar>
              <w:top w:type="dxa" w:w="60"/>
              <w:left w:type="dxa" w:w="100"/>
              <w:bottom w:type="dxa" w:w="60"/>
              <w:right w:type="dxa" w:w="100"/>
            </w:tcMar>
          </w:tcPr>
          <w:p>
            <w:r>
              <w:rPr>
                <w:b w:val="false"/>
                <w:bCs w:val="false"/>
                <w:sz w:val="19"/>
                <w:szCs w:val="19"/>
              </w:rPr>
              <w:t xml:space="preserve">−72.7%</w:t>
            </w:r>
          </w:p>
        </w:tc>
        <w:tc>
          <w:tcPr>
            <w:tcW w:type="dxa" w:w="2300"/>
            <w:tcMar>
              <w:top w:type="dxa" w:w="60"/>
              <w:left w:type="dxa" w:w="100"/>
              <w:bottom w:type="dxa" w:w="60"/>
              <w:right w:type="dxa" w:w="100"/>
            </w:tcMar>
          </w:tcPr>
          <w:p>
            <w:r>
              <w:rPr>
                <w:b w:val="false"/>
                <w:bCs w:val="false"/>
                <w:sz w:val="19"/>
                <w:szCs w:val="19"/>
              </w:rPr>
              <w:t xml:space="preserve">−74.3% to −71.1%</w:t>
            </w:r>
          </w:p>
        </w:tc>
      </w:tr>
      <w:tr>
        <w:tc>
          <w:tcPr>
            <w:tcW w:type="dxa" w:w="2300"/>
            <w:tcMar>
              <w:top w:type="dxa" w:w="60"/>
              <w:left w:type="dxa" w:w="100"/>
              <w:bottom w:type="dxa" w:w="60"/>
              <w:right w:type="dxa" w:w="100"/>
            </w:tcMar>
          </w:tcPr>
          <w:p>
            <w:r>
              <w:rPr>
                <w:b w:val="false"/>
                <w:bCs w:val="false"/>
                <w:sz w:val="19"/>
                <w:szCs w:val="19"/>
              </w:rPr>
              <w:t xml:space="preserve">item_count (per 1 SD)</w:t>
            </w:r>
          </w:p>
        </w:tc>
        <w:tc>
          <w:tcPr>
            <w:tcW w:type="dxa" w:w="2300"/>
            <w:tcMar>
              <w:top w:type="dxa" w:w="60"/>
              <w:left w:type="dxa" w:w="100"/>
              <w:bottom w:type="dxa" w:w="60"/>
              <w:right w:type="dxa" w:w="100"/>
            </w:tcMar>
          </w:tcPr>
          <w:p>
            <w:r>
              <w:rPr>
                <w:b w:val="false"/>
                <w:bCs w:val="false"/>
                <w:sz w:val="19"/>
                <w:szCs w:val="19"/>
              </w:rPr>
              <w:t xml:space="preserve">−20.1%</w:t>
            </w:r>
          </w:p>
        </w:tc>
        <w:tc>
          <w:tcPr>
            <w:tcW w:type="dxa" w:w="2300"/>
            <w:tcMar>
              <w:top w:type="dxa" w:w="60"/>
              <w:left w:type="dxa" w:w="100"/>
              <w:bottom w:type="dxa" w:w="60"/>
              <w:right w:type="dxa" w:w="100"/>
            </w:tcMar>
          </w:tcPr>
          <w:p>
            <w:r>
              <w:rPr>
                <w:b w:val="false"/>
                <w:bCs w:val="false"/>
                <w:sz w:val="19"/>
                <w:szCs w:val="19"/>
              </w:rPr>
              <w:t xml:space="preserve">−21.3% to −18.9%</w:t>
            </w:r>
          </w:p>
        </w:tc>
      </w:tr>
      <w:tr>
        <w:tc>
          <w:tcPr>
            <w:tcW w:type="dxa" w:w="2300"/>
            <w:tcMar>
              <w:top w:type="dxa" w:w="60"/>
              <w:left w:type="dxa" w:w="100"/>
              <w:bottom w:type="dxa" w:w="60"/>
              <w:right w:type="dxa" w:w="100"/>
            </w:tcMar>
          </w:tcPr>
          <w:p>
            <w:r>
              <w:rPr>
                <w:b w:val="false"/>
                <w:bCs w:val="false"/>
                <w:sz w:val="19"/>
                <w:szCs w:val="19"/>
              </w:rPr>
              <w:t xml:space="preserve">avg_distance_km (per 1 SD)</w:t>
            </w:r>
          </w:p>
        </w:tc>
        <w:tc>
          <w:tcPr>
            <w:tcW w:type="dxa" w:w="2300"/>
            <w:tcMar>
              <w:top w:type="dxa" w:w="60"/>
              <w:left w:type="dxa" w:w="100"/>
              <w:bottom w:type="dxa" w:w="60"/>
              <w:right w:type="dxa" w:w="100"/>
            </w:tcMar>
          </w:tcPr>
          <w:p>
            <w:r>
              <w:rPr>
                <w:b w:val="false"/>
                <w:bCs w:val="false"/>
                <w:sz w:val="19"/>
                <w:szCs w:val="19"/>
              </w:rPr>
              <w:t xml:space="preserve">+3.5%</w:t>
            </w:r>
          </w:p>
        </w:tc>
        <w:tc>
          <w:tcPr>
            <w:tcW w:type="dxa" w:w="2300"/>
            <w:tcMar>
              <w:top w:type="dxa" w:w="60"/>
              <w:left w:type="dxa" w:w="100"/>
              <w:bottom w:type="dxa" w:w="60"/>
              <w:right w:type="dxa" w:w="100"/>
            </w:tcMar>
          </w:tcPr>
          <w:p>
            <w:r>
              <w:rPr>
                <w:b w:val="false"/>
                <w:bCs w:val="false"/>
                <w:sz w:val="19"/>
                <w:szCs w:val="19"/>
              </w:rPr>
              <w:t xml:space="preserve">+0.8% to +6.2%</w:t>
            </w:r>
          </w:p>
        </w:tc>
      </w:tr>
    </w:tbl>
    <w:p>
      <w:pPr>
        <w:spacing w:after="200"/>
      </w:pPr>
    </w:p>
    <w:tbl>
      <w:tblPr>
        <w:tblW w:type="dxa" w:w="9350"/>
        <w:tblBorders>
          <w:top w:val="single" w:color="1565C0" w:sz="4"/>
          <w:left w:val="single" w:color="1565C0" w:sz="24"/>
          <w:bottom w:val="single" w:color="1565C0" w:sz="4"/>
          <w:right w:val="single" w:color="1565C0" w:sz="4"/>
          <w:insideH w:val="single" w:color="auto" w:sz="4"/>
          <w:insideV w:val="single" w:color="auto" w:sz="4"/>
        </w:tblBorders>
      </w:tblPr>
      <w:tblGrid>
        <w:gridCol w:w="9350"/>
      </w:tblGrid>
      <w:tr>
        <w:tc>
          <w:tcPr>
            <w:tcW w:type="dxa" w:w="9350"/>
            <w:shd w:fill="E3F2FD" w:val="clear"/>
            <w:tcMar>
              <w:top w:type="dxa" w:w="120"/>
              <w:left w:type="dxa" w:w="180"/>
              <w:bottom w:type="dxa" w:w="120"/>
              <w:right w:type="dxa" w:w="180"/>
            </w:tcMar>
          </w:tcPr>
          <w:p>
            <w:pPr>
              <w:spacing w:after="60"/>
            </w:pPr>
            <w:r>
              <w:rPr>
                <w:b/>
                <w:bCs/>
                <w:color w:val="1565C0"/>
                <w:sz w:val="20"/>
                <w:szCs w:val="20"/>
              </w:rPr>
              <w:t xml:space="preserve">TECHNICAL CONCEPT</w:t>
            </w:r>
          </w:p>
          <w:p>
            <w:r>
              <w:rPr>
                <w:color w:val="222222"/>
                <w:sz w:val="21"/>
                <w:szCs w:val="21"/>
              </w:rPr>
              <w:t xml:space="preserve">Percent-change-in-odds is a DECREASING function of the odds ratio, so the lower confidence bound on an odds ratio produces the LARGER percent-change figure, and the upper bound produces the smaller one. Sorting into a plain low-to-high range (rather than naively matching lower-to-lower) avoids misreporting the interval backwards — an easy mistake to make when translating regression output.</w:t>
            </w:r>
          </w:p>
        </w:tc>
      </w:tr>
    </w:tbl>
    <w:p>
      <w:pPr>
        <w:spacing w:after="120"/>
      </w:pPr>
    </w:p>
    <w:tbl>
      <w:tblPr>
        <w:tblW w:type="dxa" w:w="9350"/>
        <w:tblBorders>
          <w:top w:val="single" w:color="B71C1C" w:sz="4"/>
          <w:left w:val="single" w:color="B71C1C" w:sz="24"/>
          <w:bottom w:val="single" w:color="B71C1C" w:sz="4"/>
          <w:right w:val="single" w:color="B71C1C" w:sz="4"/>
          <w:insideH w:val="single" w:color="auto" w:sz="4"/>
          <w:insideV w:val="single" w:color="auto" w:sz="4"/>
        </w:tblBorders>
      </w:tblPr>
      <w:tblGrid>
        <w:gridCol w:w="9350"/>
      </w:tblGrid>
      <w:tr>
        <w:tc>
          <w:tcPr>
            <w:tcW w:type="dxa" w:w="9350"/>
            <w:shd w:fill="FDECEA" w:val="clear"/>
            <w:tcMar>
              <w:top w:type="dxa" w:w="120"/>
              <w:left w:type="dxa" w:w="180"/>
              <w:bottom w:type="dxa" w:w="120"/>
              <w:right w:type="dxa" w:w="180"/>
            </w:tcMar>
          </w:tcPr>
          <w:p>
            <w:pPr>
              <w:spacing w:after="60"/>
            </w:pPr>
            <w:r>
              <w:rPr>
                <w:b/>
                <w:bCs/>
                <w:color w:val="B71C1C"/>
                <w:sz w:val="20"/>
                <w:szCs w:val="20"/>
              </w:rPr>
              <w:t xml:space="preserve">BUSINESS FINDING</w:t>
            </w:r>
          </w:p>
          <w:p>
            <w:r>
              <w:rPr>
                <w:color w:val="222222"/>
                <w:sz w:val="21"/>
                <w:szCs w:val="21"/>
              </w:rPr>
              <w:t xml:space="preserve">None of the four confidence intervals cross zero (in percent-change terms) or 1.0 (in odds-ratio terms) — meaning every one of these effects, including the small distance effect, can be stated with confidence as genuinely non-zero, not just a point estimate that could plausibly be noise.</w:t>
            </w:r>
          </w:p>
        </w:tc>
      </w:tr>
    </w:tbl>
    <w:p>
      <w:pPr>
        <w:pStyle w:val="Heading3"/>
        <w:spacing w:after="120" w:before="240"/>
      </w:pPr>
      <w:r>
        <w:t xml:space="preserve">2. Non-Parametric Hypothesis Tests</w:t>
      </w:r>
    </w:p>
    <w:p>
      <w:pPr>
        <w:spacing w:after="160"/>
      </w:pPr>
      <w:r>
        <w:rPr>
          <w:b/>
          <w:bCs/>
        </w:rPr>
        <w:t xml:space="preserve">Technical: </w:t>
      </w:r>
      <w:r>
        <w:t xml:space="preserve">Ran Mann-Whitney U (late vs. on-time orders) and Kruskal-Wallis (across all 5 delivery-speed buckets) as independent, distribution-free tests of the same underlying question the regression already answered.</w:t>
      </w:r>
    </w:p>
    <w:p>
      <w:pPr>
        <w:spacing w:after="160"/>
      </w:pPr>
      <w:r>
        <w:rPr>
          <w:b/>
          <w:bCs/>
        </w:rPr>
        <w:t xml:space="preserve">In plain terms: </w:t>
      </w:r>
      <w:r>
        <w:t xml:space="preserve">Review scores are heavily skewed (Phase 3 finding), so a standard t-test's normality assumption doesn't hold well. These rank-based tests make no assumption about the shape of the distribution, making them a more appropriate and more independent check.</w:t>
      </w:r>
    </w:p>
    <w:tbl>
      <w:tblPr>
        <w:tblW w:type="dxa" w:w="9350"/>
        <w:tblBorders>
          <w:top w:val="single" w:color="B71C1C" w:sz="4"/>
          <w:left w:val="single" w:color="B71C1C" w:sz="24"/>
          <w:bottom w:val="single" w:color="B71C1C" w:sz="4"/>
          <w:right w:val="single" w:color="B71C1C" w:sz="4"/>
          <w:insideH w:val="single" w:color="auto" w:sz="4"/>
          <w:insideV w:val="single" w:color="auto" w:sz="4"/>
        </w:tblBorders>
      </w:tblPr>
      <w:tblGrid>
        <w:gridCol w:w="9350"/>
      </w:tblGrid>
      <w:tr>
        <w:tc>
          <w:tcPr>
            <w:tcW w:type="dxa" w:w="9350"/>
            <w:shd w:fill="FDECEA" w:val="clear"/>
            <w:tcMar>
              <w:top w:type="dxa" w:w="120"/>
              <w:left w:type="dxa" w:w="180"/>
              <w:bottom w:type="dxa" w:w="120"/>
              <w:right w:type="dxa" w:w="180"/>
            </w:tcMar>
          </w:tcPr>
          <w:p>
            <w:pPr>
              <w:spacing w:after="60"/>
            </w:pPr>
            <w:r>
              <w:rPr>
                <w:b/>
                <w:bCs/>
                <w:color w:val="B71C1C"/>
                <w:sz w:val="20"/>
                <w:szCs w:val="20"/>
              </w:rPr>
              <w:t xml:space="preserve">BUSINESS FINDING</w:t>
            </w:r>
          </w:p>
          <w:p>
            <w:r>
              <w:rPr>
                <w:color w:val="222222"/>
                <w:sz w:val="21"/>
                <w:szCs w:val="21"/>
              </w:rPr>
              <w:t xml:space="preserve">Both tests returned p-values indistinguishable from zero (Mann-Whitney U = 148,872,387; Kruskal-Wallis H = 7,841.3) — corroborating the regression's is_late finding using a completely different statistical method with no shared assumptions. Two independent approaches now agree.</w:t>
            </w:r>
          </w:p>
        </w:tc>
      </w:tr>
    </w:tbl>
    <w:p>
      <w:pPr>
        <w:spacing w:after="12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c>
          <w:tcPr>
            <w:tcW w:type="dxa" w:w="9350"/>
            <w:shd w:fill="FFF8E1" w:val="clear"/>
            <w:tcMar>
              <w:top w:type="dxa" w:w="120"/>
              <w:left w:type="dxa" w:w="180"/>
              <w:bottom w:type="dxa" w:w="120"/>
              <w:right w:type="dxa" w:w="180"/>
            </w:tcMar>
          </w:tcPr>
          <w:p>
            <w:pPr>
              <w:spacing w:after="60"/>
            </w:pPr>
            <w:r>
              <w:rPr>
                <w:b/>
                <w:bCs/>
                <w:color w:val="8A6D00"/>
                <w:sz w:val="20"/>
                <w:szCs w:val="20"/>
              </w:rPr>
              <w:t xml:space="preserve">DATA QUALITY NOTE</w:t>
            </w:r>
          </w:p>
          <w:p>
            <w:r>
              <w:rPr>
                <w:color w:val="222222"/>
                <w:sz w:val="21"/>
                <w:szCs w:val="21"/>
              </w:rPr>
              <w:t xml:space="preserve">With a sample this large (95,349 rows), even practically tiny differences would register as statistically significant — so significance alone is not impressive at this scale. What makes the finding solid is that Phase 4's regression ALSO produced sizeable, tightly-bounded effect estimates (39.9%, 72.7%). Significance plus meaningful effect size together are what justify the conclusion, not either alone.</w:t>
            </w:r>
          </w:p>
        </w:tc>
      </w:tr>
    </w:tbl>
    <w:p>
      <w:pPr>
        <w:pStyle w:val="Heading3"/>
        <w:spacing w:after="120" w:before="240"/>
      </w:pPr>
      <w:r>
        <w:t xml:space="preserve">3. Likelihood Ratio Test</w:t>
      </w:r>
    </w:p>
    <w:p>
      <w:pPr>
        <w:spacing w:after="160"/>
      </w:pPr>
      <w:r>
        <w:rPr>
          <w:b/>
          <w:bCs/>
        </w:rPr>
        <w:t xml:space="preserve">Technical: </w:t>
      </w:r>
      <w:r>
        <w:t xml:space="preserve">Compared the full regression model against a reduced model with delivery_days and is_late removed entirely, testing whether they jointly improve model fit beyond the confounders already present.</w:t>
      </w:r>
    </w:p>
    <w:p>
      <w:pPr>
        <w:spacing w:after="160"/>
      </w:pPr>
      <w:r>
        <w:rPr>
          <w:b/>
          <w:bCs/>
        </w:rPr>
        <w:t xml:space="preserve">In plain terms: </w:t>
      </w:r>
      <w:r>
        <w:t xml:space="preserve">This asks a sharper question than an individual coefficient's p-value: does REMOVING these two variables make the model meaningfully worse at explaining the data, even with every other control still in place?</w:t>
      </w:r>
    </w:p>
    <w:tbl>
      <w:tblPr>
        <w:tblW w:type="dxa" w:w="9350"/>
        <w:tblBorders>
          <w:top w:val="single" w:color="B71C1C" w:sz="4"/>
          <w:left w:val="single" w:color="B71C1C" w:sz="24"/>
          <w:bottom w:val="single" w:color="B71C1C" w:sz="4"/>
          <w:right w:val="single" w:color="B71C1C" w:sz="4"/>
          <w:insideH w:val="single" w:color="auto" w:sz="4"/>
          <w:insideV w:val="single" w:color="auto" w:sz="4"/>
        </w:tblBorders>
      </w:tblPr>
      <w:tblGrid>
        <w:gridCol w:w="9350"/>
      </w:tblGrid>
      <w:tr>
        <w:tc>
          <w:tcPr>
            <w:tcW w:type="dxa" w:w="9350"/>
            <w:shd w:fill="FDECEA" w:val="clear"/>
            <w:tcMar>
              <w:top w:type="dxa" w:w="120"/>
              <w:left w:type="dxa" w:w="180"/>
              <w:bottom w:type="dxa" w:w="120"/>
              <w:right w:type="dxa" w:w="180"/>
            </w:tcMar>
          </w:tcPr>
          <w:p>
            <w:pPr>
              <w:spacing w:after="60"/>
            </w:pPr>
            <w:r>
              <w:rPr>
                <w:b/>
                <w:bCs/>
                <w:color w:val="B71C1C"/>
                <w:sz w:val="20"/>
                <w:szCs w:val="20"/>
              </w:rPr>
              <w:t xml:space="preserve">BUSINESS FINDING</w:t>
            </w:r>
          </w:p>
          <w:p>
            <w:r>
              <w:rPr>
                <w:color w:val="222222"/>
                <w:sz w:val="21"/>
                <w:szCs w:val="21"/>
              </w:rPr>
              <w:t xml:space="preserve">Removing delivery_days and is_late worsened the model's log-likelihood substantially (−104,877.1 → −110,563.9). The resulting likelihood ratio statistic (11,373.64, df=2) is enormous — an unambiguous confirmation that these two variables are doing real, substantial explanatory work, even after category, region, distance, and order economics are already accounted for. Arguably the single strongest piece of evidence produced in the entire project.</w:t>
            </w:r>
          </w:p>
        </w:tc>
      </w:tr>
    </w:tbl>
    <w:p>
      <w:pPr>
        <w:spacing w:after="200"/>
      </w:pPr>
    </w:p>
    <w:p>
      <w:pPr>
        <w:pStyle w:val="Heading2"/>
        <w:spacing w:after="160" w:before="360"/>
      </w:pPr>
      <w:r>
        <w:t xml:space="preserve">Summary: The Full Statistical Case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2300"/>
            <w:shd w:fill="EEEEEE" w:val="clear"/>
            <w:tcMar>
              <w:top w:type="dxa" w:w="60"/>
              <w:left w:type="dxa" w:w="100"/>
              <w:bottom w:type="dxa" w:w="60"/>
              <w:right w:type="dxa" w:w="100"/>
            </w:tcMar>
          </w:tcPr>
          <w:p>
            <w:r>
              <w:rPr>
                <w:b/>
                <w:bCs/>
                <w:sz w:val="19"/>
                <w:szCs w:val="19"/>
              </w:rPr>
              <w:t xml:space="preserve">Test</w:t>
            </w:r>
          </w:p>
        </w:tc>
        <w:tc>
          <w:tcPr>
            <w:tcW w:type="dxa" w:w="2300"/>
            <w:shd w:fill="EEEEEE" w:val="clear"/>
            <w:tcMar>
              <w:top w:type="dxa" w:w="60"/>
              <w:left w:type="dxa" w:w="100"/>
              <w:bottom w:type="dxa" w:w="60"/>
              <w:right w:type="dxa" w:w="100"/>
            </w:tcMar>
          </w:tcPr>
          <w:p>
            <w:r>
              <w:rPr>
                <w:b/>
                <w:bCs/>
                <w:sz w:val="19"/>
                <w:szCs w:val="19"/>
              </w:rPr>
              <w:t xml:space="preserve">What It Confirms</w:t>
            </w:r>
          </w:p>
        </w:tc>
      </w:tr>
      <w:tr>
        <w:tc>
          <w:tcPr>
            <w:tcW w:type="dxa" w:w="2300"/>
            <w:tcMar>
              <w:top w:type="dxa" w:w="60"/>
              <w:left w:type="dxa" w:w="100"/>
              <w:bottom w:type="dxa" w:w="60"/>
              <w:right w:type="dxa" w:w="100"/>
            </w:tcMar>
          </w:tcPr>
          <w:p>
            <w:r>
              <w:rPr>
                <w:b w:val="false"/>
                <w:bCs w:val="false"/>
                <w:sz w:val="19"/>
                <w:szCs w:val="19"/>
              </w:rPr>
              <w:t xml:space="preserve">VIF (Phase 4)</w:t>
            </w:r>
          </w:p>
        </w:tc>
        <w:tc>
          <w:tcPr>
            <w:tcW w:type="dxa" w:w="2300"/>
            <w:tcMar>
              <w:top w:type="dxa" w:w="60"/>
              <w:left w:type="dxa" w:w="100"/>
              <w:bottom w:type="dxa" w:w="60"/>
              <w:right w:type="dxa" w:w="100"/>
            </w:tcMar>
          </w:tcPr>
          <w:p>
            <w:r>
              <w:rPr>
                <w:b w:val="false"/>
                <w:bCs w:val="false"/>
                <w:sz w:val="19"/>
                <w:szCs w:val="19"/>
              </w:rPr>
              <w:t xml:space="preserve">delivery_days and is_late aren't contaminating each other's coefficients</w:t>
            </w:r>
          </w:p>
        </w:tc>
      </w:tr>
      <w:tr>
        <w:tc>
          <w:tcPr>
            <w:tcW w:type="dxa" w:w="2300"/>
            <w:tcMar>
              <w:top w:type="dxa" w:w="60"/>
              <w:left w:type="dxa" w:w="100"/>
              <w:bottom w:type="dxa" w:w="60"/>
              <w:right w:type="dxa" w:w="100"/>
            </w:tcMar>
          </w:tcPr>
          <w:p>
            <w:r>
              <w:rPr>
                <w:b w:val="false"/>
                <w:bCs w:val="false"/>
                <w:sz w:val="19"/>
                <w:szCs w:val="19"/>
              </w:rPr>
              <w:t xml:space="preserve">Regression + CIs</w:t>
            </w:r>
          </w:p>
        </w:tc>
        <w:tc>
          <w:tcPr>
            <w:tcW w:type="dxa" w:w="2300"/>
            <w:tcMar>
              <w:top w:type="dxa" w:w="60"/>
              <w:left w:type="dxa" w:w="100"/>
              <w:bottom w:type="dxa" w:w="60"/>
              <w:right w:type="dxa" w:w="100"/>
            </w:tcMar>
          </w:tcPr>
          <w:p>
            <w:r>
              <w:rPr>
                <w:b w:val="false"/>
                <w:bCs w:val="false"/>
                <w:sz w:val="19"/>
                <w:szCs w:val="19"/>
              </w:rPr>
              <w:t xml:space="preserve">Precise, bounded effect sizes (39.9% and 72.7% odds reductions)</w:t>
            </w:r>
          </w:p>
        </w:tc>
      </w:tr>
      <w:tr>
        <w:tc>
          <w:tcPr>
            <w:tcW w:type="dxa" w:w="2300"/>
            <w:tcMar>
              <w:top w:type="dxa" w:w="60"/>
              <w:left w:type="dxa" w:w="100"/>
              <w:bottom w:type="dxa" w:w="60"/>
              <w:right w:type="dxa" w:w="100"/>
            </w:tcMar>
          </w:tcPr>
          <w:p>
            <w:r>
              <w:rPr>
                <w:b w:val="false"/>
                <w:bCs w:val="false"/>
                <w:sz w:val="19"/>
                <w:szCs w:val="19"/>
              </w:rPr>
              <w:t xml:space="preserve">Mann-Whitney U</w:t>
            </w:r>
          </w:p>
        </w:tc>
        <w:tc>
          <w:tcPr>
            <w:tcW w:type="dxa" w:w="2300"/>
            <w:tcMar>
              <w:top w:type="dxa" w:w="60"/>
              <w:left w:type="dxa" w:w="100"/>
              <w:bottom w:type="dxa" w:w="60"/>
              <w:right w:type="dxa" w:w="100"/>
            </w:tcMar>
          </w:tcPr>
          <w:p>
            <w:r>
              <w:rPr>
                <w:b w:val="false"/>
                <w:bCs w:val="false"/>
                <w:sz w:val="19"/>
                <w:szCs w:val="19"/>
              </w:rPr>
              <w:t xml:space="preserve">Independent, distribution-free confirmation that late vs. on-time differ</w:t>
            </w:r>
          </w:p>
        </w:tc>
      </w:tr>
      <w:tr>
        <w:tc>
          <w:tcPr>
            <w:tcW w:type="dxa" w:w="2300"/>
            <w:tcMar>
              <w:top w:type="dxa" w:w="60"/>
              <w:left w:type="dxa" w:w="100"/>
              <w:bottom w:type="dxa" w:w="60"/>
              <w:right w:type="dxa" w:w="100"/>
            </w:tcMar>
          </w:tcPr>
          <w:p>
            <w:r>
              <w:rPr>
                <w:b w:val="false"/>
                <w:bCs w:val="false"/>
                <w:sz w:val="19"/>
                <w:szCs w:val="19"/>
              </w:rPr>
              <w:t xml:space="preserve">Kruskal-Wallis</w:t>
            </w:r>
          </w:p>
        </w:tc>
        <w:tc>
          <w:tcPr>
            <w:tcW w:type="dxa" w:w="2300"/>
            <w:tcMar>
              <w:top w:type="dxa" w:w="60"/>
              <w:left w:type="dxa" w:w="100"/>
              <w:bottom w:type="dxa" w:w="60"/>
              <w:right w:type="dxa" w:w="100"/>
            </w:tcMar>
          </w:tcPr>
          <w:p>
            <w:r>
              <w:rPr>
                <w:b w:val="false"/>
                <w:bCs w:val="false"/>
                <w:sz w:val="19"/>
                <w:szCs w:val="19"/>
              </w:rPr>
              <w:t xml:space="preserve">Same confirmation across all delivery-speed buckets simultaneously</w:t>
            </w:r>
          </w:p>
        </w:tc>
      </w:tr>
      <w:tr>
        <w:tc>
          <w:tcPr>
            <w:tcW w:type="dxa" w:w="2300"/>
            <w:tcMar>
              <w:top w:type="dxa" w:w="60"/>
              <w:left w:type="dxa" w:w="100"/>
              <w:bottom w:type="dxa" w:w="60"/>
              <w:right w:type="dxa" w:w="100"/>
            </w:tcMar>
          </w:tcPr>
          <w:p>
            <w:r>
              <w:rPr>
                <w:b w:val="false"/>
                <w:bCs w:val="false"/>
                <w:sz w:val="19"/>
                <w:szCs w:val="19"/>
              </w:rPr>
              <w:t xml:space="preserve">Likelihood ratio test</w:t>
            </w:r>
          </w:p>
        </w:tc>
        <w:tc>
          <w:tcPr>
            <w:tcW w:type="dxa" w:w="2300"/>
            <w:tcMar>
              <w:top w:type="dxa" w:w="60"/>
              <w:left w:type="dxa" w:w="100"/>
              <w:bottom w:type="dxa" w:w="60"/>
              <w:right w:type="dxa" w:w="100"/>
            </w:tcMar>
          </w:tcPr>
          <w:p>
            <w:r>
              <w:rPr>
                <w:b w:val="false"/>
                <w:bCs w:val="false"/>
                <w:sz w:val="19"/>
                <w:szCs w:val="19"/>
              </w:rPr>
              <w:t xml:space="preserve">Delivery variables substantially improve fit beyond confounders alone</w:t>
            </w:r>
          </w:p>
        </w:tc>
      </w:tr>
    </w:tbl>
    <w:p>
      <w:pPr>
        <w:spacing w:after="200"/>
      </w:pPr>
    </w:p>
    <w:p>
      <w:pPr>
        <w:pStyle w:val="ListParagraph"/>
        <w:numPr>
          <w:ilvl w:val="0"/>
          <w:numId w:val="2"/>
        </w:numPr>
        <w:spacing w:after="80"/>
      </w:pPr>
      <w:r>
        <w:t xml:space="preserve">Five independent statistical angles, all pointing the same direction, each with real numbers behind it — not a single test taken at face value</w:t>
      </w:r>
    </w:p>
    <w:p>
      <w:pPr>
        <w:pStyle w:val="ListParagraph"/>
        <w:numPr>
          <w:ilvl w:val="0"/>
          <w:numId w:val="2"/>
        </w:numPr>
        <w:spacing w:after="80"/>
      </w:pPr>
      <w:r>
        <w:t xml:space="preserve">Correctly distinguishing statistical significance from practical effect size, especially important given the large sample size</w:t>
      </w:r>
    </w:p>
    <w:p>
      <w:pPr>
        <w:pStyle w:val="ListParagraph"/>
        <w:numPr>
          <w:ilvl w:val="0"/>
          <w:numId w:val="2"/>
        </w:numPr>
        <w:spacing w:after="80"/>
      </w:pPr>
      <w:r>
        <w:t xml:space="preserve">Confidence intervals reported and correctly interpreted, including the non-obvious inversion between odds-ratio bounds and percent-change bounds</w:t>
      </w:r>
    </w:p>
    <w:p>
      <w:pPr>
        <w:pStyle w:val="ListParagraph"/>
        <w:numPr>
          <w:ilvl w:val="0"/>
          <w:numId w:val="2"/>
        </w:numPr>
        <w:spacing w:after="80"/>
      </w:pPr>
      <w:r>
        <w:t xml:space="preserve">Formal nested model comparison (likelihood ratio test) as the most rigorous confirmation, rather than relying on individual coefficient p-values alone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2026-09-05T14:57:43.280Z</dcterms:created>
  <dcterms:modified xsi:type="dcterms:W3CDTF">2026-09-05T14:57:43.293Z</dcterms:modified>
</cp:coreProperties>
</file>

<file path=docProps/custom.xml><?xml version="1.0" encoding="utf-8"?>
<Properties xmlns="http://schemas.openxmlformats.org/officeDocument/2006/custom-properties" xmlns:vt="http://schemas.openxmlformats.org/officeDocument/2006/docPropsVTypes"/>
</file>