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C7FD37" w14:textId="77777777" w:rsidR="009B6E84" w:rsidRDefault="00A0602B">
      <w:pPr>
        <w:pStyle w:val="Title"/>
        <w:spacing w:after="80"/>
      </w:pPr>
      <w:proofErr w:type="spellStart"/>
      <w:r>
        <w:t>Olist</w:t>
      </w:r>
      <w:proofErr w:type="spellEnd"/>
      <w:r>
        <w:t xml:space="preserve"> E-Commerce Analysis</w:t>
      </w:r>
    </w:p>
    <w:p w14:paraId="62C7FD38" w14:textId="77777777" w:rsidR="009B6E84" w:rsidRDefault="00A0602B">
      <w:pPr>
        <w:pStyle w:val="Heading1"/>
        <w:spacing w:after="240"/>
      </w:pPr>
      <w:r>
        <w:t>Reference Document: Phases 1–2 (Database Setup &amp; SQL Analysis)</w:t>
      </w:r>
    </w:p>
    <w:p w14:paraId="62C7FD39" w14:textId="77777777" w:rsidR="009B6E84" w:rsidRDefault="00A0602B">
      <w:pPr>
        <w:spacing w:after="160"/>
      </w:pPr>
      <w:r>
        <w:t>This document summarizes the database setup, validation, and SQL analytical work completed so far. Each section explains what was built technically, what it means in plain terms, and what the finding was — color-coded by type so you can scan for the highlights quickly.</w:t>
      </w:r>
    </w:p>
    <w:p w14:paraId="62C7FD3A" w14:textId="77777777" w:rsidR="009B6E84" w:rsidRDefault="00A0602B">
      <w:pPr>
        <w:pStyle w:val="Heading3"/>
        <w:spacing w:before="240" w:after="120"/>
      </w:pPr>
      <w:proofErr w:type="spellStart"/>
      <w:r>
        <w:t>Color</w:t>
      </w:r>
      <w:proofErr w:type="spellEnd"/>
      <w:r>
        <w:t xml:space="preserve"> Legend</w:t>
      </w:r>
    </w:p>
    <w:tbl>
      <w:tblPr>
        <w:tblW w:w="9350" w:type="dxa"/>
        <w:tblBorders>
          <w:top w:val="single" w:sz="4" w:space="0" w:color="2E7D32"/>
          <w:left w:val="single" w:sz="2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3D" w14:textId="77777777">
        <w:tblPrEx>
          <w:tblCellMar>
            <w:top w:w="0" w:type="dxa"/>
            <w:bottom w:w="0" w:type="dxa"/>
          </w:tblCellMar>
        </w:tblPrEx>
        <w:tc>
          <w:tcPr>
            <w:tcW w:w="9350" w:type="dxa"/>
            <w:shd w:val="clear" w:color="auto" w:fill="E8F5E9"/>
            <w:tcMar>
              <w:top w:w="120" w:type="dxa"/>
              <w:left w:w="180" w:type="dxa"/>
              <w:bottom w:w="120" w:type="dxa"/>
              <w:right w:w="180" w:type="dxa"/>
            </w:tcMar>
          </w:tcPr>
          <w:p w14:paraId="62C7FD3B" w14:textId="77777777" w:rsidR="009B6E84" w:rsidRDefault="00A0602B">
            <w:pPr>
              <w:spacing w:after="60"/>
            </w:pPr>
            <w:r>
              <w:rPr>
                <w:b/>
                <w:bCs/>
                <w:color w:val="2E7D32"/>
              </w:rPr>
              <w:t>CLEAN / VALIDATED</w:t>
            </w:r>
          </w:p>
          <w:p w14:paraId="62C7FD3C" w14:textId="77777777" w:rsidR="009B6E84" w:rsidRDefault="00A0602B">
            <w:r>
              <w:rPr>
                <w:color w:val="222222"/>
                <w:sz w:val="21"/>
                <w:szCs w:val="21"/>
              </w:rPr>
              <w:t>The check passed, or the result confirms data integrity — no issue found.</w:t>
            </w:r>
          </w:p>
        </w:tc>
      </w:tr>
    </w:tbl>
    <w:p w14:paraId="62C7FD3E" w14:textId="77777777" w:rsidR="009B6E84" w:rsidRDefault="009B6E84">
      <w:pPr>
        <w:spacing w:after="120"/>
      </w:pPr>
    </w:p>
    <w:tbl>
      <w:tblPr>
        <w:tblW w:w="9350" w:type="dxa"/>
        <w:tblBorders>
          <w:top w:val="single" w:sz="4" w:space="0" w:color="8A6D00"/>
          <w:left w:val="single" w:sz="24" w:space="0" w:color="8A6D00"/>
          <w:bottom w:val="single" w:sz="4" w:space="0" w:color="8A6D00"/>
          <w:right w:val="single" w:sz="4" w:space="0" w:color="8A6D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41" w14:textId="77777777">
        <w:tblPrEx>
          <w:tblCellMar>
            <w:top w:w="0" w:type="dxa"/>
            <w:bottom w:w="0" w:type="dxa"/>
          </w:tblCellMar>
        </w:tblPrEx>
        <w:tc>
          <w:tcPr>
            <w:tcW w:w="9350" w:type="dxa"/>
            <w:shd w:val="clear" w:color="auto" w:fill="FFF8E1"/>
            <w:tcMar>
              <w:top w:w="120" w:type="dxa"/>
              <w:left w:w="180" w:type="dxa"/>
              <w:bottom w:w="120" w:type="dxa"/>
              <w:right w:w="180" w:type="dxa"/>
            </w:tcMar>
          </w:tcPr>
          <w:p w14:paraId="62C7FD3F" w14:textId="77777777" w:rsidR="009B6E84" w:rsidRDefault="00A0602B">
            <w:pPr>
              <w:spacing w:after="60"/>
            </w:pPr>
            <w:r>
              <w:rPr>
                <w:b/>
                <w:bCs/>
                <w:color w:val="8A6D00"/>
              </w:rPr>
              <w:t>DATA QUALITY NOTE</w:t>
            </w:r>
          </w:p>
          <w:p w14:paraId="62C7FD40" w14:textId="77777777" w:rsidR="009B6E84" w:rsidRDefault="00A0602B">
            <w:r>
              <w:rPr>
                <w:color w:val="222222"/>
                <w:sz w:val="21"/>
                <w:szCs w:val="21"/>
              </w:rPr>
              <w:t>A real quirk or limitation in the raw data that we identified, understood, and handled deliberately.</w:t>
            </w:r>
          </w:p>
        </w:tc>
      </w:tr>
    </w:tbl>
    <w:p w14:paraId="62C7FD42" w14:textId="77777777" w:rsidR="009B6E84" w:rsidRDefault="009B6E84">
      <w:pPr>
        <w:spacing w:after="120"/>
      </w:pPr>
    </w:p>
    <w:tbl>
      <w:tblPr>
        <w:tblW w:w="9350" w:type="dxa"/>
        <w:tblBorders>
          <w:top w:val="single" w:sz="4" w:space="0" w:color="B71C1C"/>
          <w:left w:val="single" w:sz="24" w:space="0" w:color="B71C1C"/>
          <w:bottom w:val="single" w:sz="4" w:space="0" w:color="B71C1C"/>
          <w:right w:val="single" w:sz="4" w:space="0" w:color="B7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45" w14:textId="77777777">
        <w:tblPrEx>
          <w:tblCellMar>
            <w:top w:w="0" w:type="dxa"/>
            <w:bottom w:w="0" w:type="dxa"/>
          </w:tblCellMar>
        </w:tblPrEx>
        <w:tc>
          <w:tcPr>
            <w:tcW w:w="9350" w:type="dxa"/>
            <w:shd w:val="clear" w:color="auto" w:fill="FDECEA"/>
            <w:tcMar>
              <w:top w:w="120" w:type="dxa"/>
              <w:left w:w="180" w:type="dxa"/>
              <w:bottom w:w="120" w:type="dxa"/>
              <w:right w:w="180" w:type="dxa"/>
            </w:tcMar>
          </w:tcPr>
          <w:p w14:paraId="62C7FD43" w14:textId="77777777" w:rsidR="009B6E84" w:rsidRDefault="00A0602B">
            <w:pPr>
              <w:spacing w:after="60"/>
            </w:pPr>
            <w:r>
              <w:rPr>
                <w:b/>
                <w:bCs/>
                <w:color w:val="B71C1C"/>
              </w:rPr>
              <w:t>BUSINESS FINDING</w:t>
            </w:r>
          </w:p>
          <w:p w14:paraId="62C7FD44" w14:textId="77777777" w:rsidR="009B6E84" w:rsidRDefault="00A0602B">
            <w:r>
              <w:rPr>
                <w:color w:val="222222"/>
                <w:sz w:val="21"/>
                <w:szCs w:val="21"/>
              </w:rPr>
              <w:t>An analytical result with real business implications — worth highlighting in a resume, interview, or executive summary.</w:t>
            </w:r>
          </w:p>
        </w:tc>
      </w:tr>
    </w:tbl>
    <w:p w14:paraId="62C7FD46" w14:textId="77777777" w:rsidR="009B6E84" w:rsidRDefault="009B6E84">
      <w:pPr>
        <w:spacing w:after="120"/>
      </w:pPr>
    </w:p>
    <w:tbl>
      <w:tblPr>
        <w:tblW w:w="9350" w:type="dxa"/>
        <w:tblBorders>
          <w:top w:val="single" w:sz="4" w:space="0" w:color="1565C0"/>
          <w:left w:val="single" w:sz="24" w:space="0" w:color="1565C0"/>
          <w:bottom w:val="single" w:sz="4" w:space="0" w:color="1565C0"/>
          <w:right w:val="single" w:sz="4"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49" w14:textId="77777777">
        <w:tblPrEx>
          <w:tblCellMar>
            <w:top w:w="0" w:type="dxa"/>
            <w:bottom w:w="0" w:type="dxa"/>
          </w:tblCellMar>
        </w:tblPrEx>
        <w:tc>
          <w:tcPr>
            <w:tcW w:w="9350" w:type="dxa"/>
            <w:shd w:val="clear" w:color="auto" w:fill="E3F2FD"/>
            <w:tcMar>
              <w:top w:w="120" w:type="dxa"/>
              <w:left w:w="180" w:type="dxa"/>
              <w:bottom w:w="120" w:type="dxa"/>
              <w:right w:w="180" w:type="dxa"/>
            </w:tcMar>
          </w:tcPr>
          <w:p w14:paraId="62C7FD47" w14:textId="77777777" w:rsidR="009B6E84" w:rsidRDefault="00A0602B">
            <w:pPr>
              <w:spacing w:after="60"/>
            </w:pPr>
            <w:r>
              <w:rPr>
                <w:b/>
                <w:bCs/>
                <w:color w:val="1565C0"/>
              </w:rPr>
              <w:t>TECHNICAL CONCEPT</w:t>
            </w:r>
          </w:p>
          <w:p w14:paraId="62C7FD48" w14:textId="77777777" w:rsidR="009B6E84" w:rsidRDefault="00A0602B">
            <w:r>
              <w:rPr>
                <w:color w:val="222222"/>
                <w:sz w:val="21"/>
                <w:szCs w:val="21"/>
              </w:rPr>
              <w:t>A SQL technique or concept worth understanding and being able to explain, not just a result.</w:t>
            </w:r>
          </w:p>
        </w:tc>
      </w:tr>
    </w:tbl>
    <w:p w14:paraId="62C7FD4A" w14:textId="77777777" w:rsidR="009B6E84" w:rsidRDefault="009B6E84">
      <w:pPr>
        <w:spacing w:after="240"/>
      </w:pPr>
    </w:p>
    <w:p w14:paraId="62C7FD4B" w14:textId="77777777" w:rsidR="009B6E84" w:rsidRDefault="00A0602B">
      <w:pPr>
        <w:pStyle w:val="Heading2"/>
        <w:spacing w:before="360" w:after="160"/>
      </w:pPr>
      <w:r>
        <w:t>Phase 1 — Database Setup &amp; Data Validation</w:t>
      </w:r>
    </w:p>
    <w:p w14:paraId="62C7FD4C" w14:textId="77777777" w:rsidR="009B6E84" w:rsidRDefault="00A0602B">
      <w:pPr>
        <w:spacing w:after="160"/>
      </w:pPr>
      <w:r>
        <w:t xml:space="preserve">Goal: get the raw </w:t>
      </w:r>
      <w:proofErr w:type="spellStart"/>
      <w:r>
        <w:t>Olist</w:t>
      </w:r>
      <w:proofErr w:type="spellEnd"/>
      <w:r>
        <w:t xml:space="preserve"> CSVs (9 relational tables covering orders, customers, products, sellers, payments, and reviews) into a properly structured, validated PostgreSQL database before any analysis begins.</w:t>
      </w:r>
    </w:p>
    <w:p w14:paraId="62C7FD4D" w14:textId="008F5EC1" w:rsidR="009B6E84" w:rsidRDefault="00A0602B">
      <w:pPr>
        <w:pStyle w:val="Heading3"/>
        <w:spacing w:before="240" w:after="120"/>
      </w:pPr>
      <w:r>
        <w:t xml:space="preserve">What </w:t>
      </w:r>
      <w:r w:rsidR="00B64A33">
        <w:t>was</w:t>
      </w:r>
      <w:r>
        <w:t xml:space="preserve"> built</w:t>
      </w:r>
    </w:p>
    <w:p w14:paraId="62C7FD4E" w14:textId="77777777" w:rsidR="009B6E84" w:rsidRDefault="00A0602B">
      <w:pPr>
        <w:pStyle w:val="ListParagraph"/>
        <w:numPr>
          <w:ilvl w:val="0"/>
          <w:numId w:val="2"/>
        </w:numPr>
        <w:spacing w:after="80"/>
      </w:pPr>
      <w:r>
        <w:t>A 9-table relational schema in PostgreSQL, with deliberate type choices: VARCHAR IDs (</w:t>
      </w:r>
      <w:proofErr w:type="spellStart"/>
      <w:r>
        <w:t>Olist</w:t>
      </w:r>
      <w:proofErr w:type="spellEnd"/>
      <w:r>
        <w:t xml:space="preserve"> uses hashed string IDs, not integers), TIMESTAMP fields (not just DATE, since delivery-time calculations need time-of-day precision), and NUMERIC for all currency fields (never FLOAT, which introduces rounding errors on money).</w:t>
      </w:r>
    </w:p>
    <w:p w14:paraId="62C7FD4F" w14:textId="77777777" w:rsidR="009B6E84" w:rsidRDefault="00A0602B">
      <w:pPr>
        <w:pStyle w:val="ListParagraph"/>
        <w:numPr>
          <w:ilvl w:val="0"/>
          <w:numId w:val="2"/>
        </w:numPr>
        <w:spacing w:after="80"/>
      </w:pPr>
      <w:r>
        <w:t xml:space="preserve">Bulk-loaded all 9 CSVs via </w:t>
      </w:r>
      <w:proofErr w:type="spellStart"/>
      <w:r>
        <w:t>psql's</w:t>
      </w:r>
      <w:proofErr w:type="spellEnd"/>
      <w:r>
        <w:t xml:space="preserve"> \copy command — faster and more transparent than GUI import tools.</w:t>
      </w:r>
    </w:p>
    <w:p w14:paraId="62C7FD50" w14:textId="77777777" w:rsidR="009B6E84" w:rsidRDefault="00A0602B">
      <w:pPr>
        <w:pStyle w:val="ListParagraph"/>
        <w:numPr>
          <w:ilvl w:val="0"/>
          <w:numId w:val="2"/>
        </w:numPr>
        <w:spacing w:after="80"/>
      </w:pPr>
      <w:r>
        <w:t>Ran a systematic validation pass before trusting the data: orphaned foreign keys, unexpected nulls, duplicate IDs, and category translation coverage.</w:t>
      </w:r>
    </w:p>
    <w:p w14:paraId="62C7FD51" w14:textId="77777777" w:rsidR="009B6E84" w:rsidRDefault="00A0602B">
      <w:pPr>
        <w:pStyle w:val="ListParagraph"/>
        <w:numPr>
          <w:ilvl w:val="0"/>
          <w:numId w:val="2"/>
        </w:numPr>
        <w:spacing w:after="80"/>
      </w:pPr>
      <w:r>
        <w:t>Added foreign key constraints only after validation confirmed the data was clean enough to support them.</w:t>
      </w:r>
    </w:p>
    <w:p w14:paraId="62C7FD52" w14:textId="77777777" w:rsidR="009B6E84" w:rsidRDefault="00A0602B">
      <w:pPr>
        <w:pStyle w:val="Heading3"/>
        <w:spacing w:before="240" w:after="120"/>
      </w:pPr>
      <w:r>
        <w:t>In plain terms</w:t>
      </w:r>
    </w:p>
    <w:p w14:paraId="62C7FD53" w14:textId="77777777" w:rsidR="009B6E84" w:rsidRDefault="00A0602B">
      <w:pPr>
        <w:spacing w:after="160"/>
      </w:pPr>
      <w:r>
        <w:t>Before you can trust any analysis, you have to trust the data it's built on. Rather than assuming the CSVs were clean, we deliberately checked for the most common ways real-world data breaks — records that point to things that don't exist, missing values in fields that should never be missing, and duplicate entries — and only locked in strict database rules (foreign keys) once we confirmed those checks passed.</w:t>
      </w:r>
    </w:p>
    <w:p w14:paraId="62C7FD54" w14:textId="77777777" w:rsidR="009B6E84" w:rsidRDefault="00A0602B">
      <w:pPr>
        <w:pStyle w:val="Heading3"/>
        <w:spacing w:before="240" w:after="120"/>
      </w:pPr>
      <w:r>
        <w:t>Key findings</w:t>
      </w:r>
    </w:p>
    <w:tbl>
      <w:tblPr>
        <w:tblW w:w="9350" w:type="dxa"/>
        <w:tblBorders>
          <w:top w:val="single" w:sz="4" w:space="0" w:color="2E7D32"/>
          <w:left w:val="single" w:sz="2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57" w14:textId="77777777">
        <w:tblPrEx>
          <w:tblCellMar>
            <w:top w:w="0" w:type="dxa"/>
            <w:bottom w:w="0" w:type="dxa"/>
          </w:tblCellMar>
        </w:tblPrEx>
        <w:tc>
          <w:tcPr>
            <w:tcW w:w="9350" w:type="dxa"/>
            <w:shd w:val="clear" w:color="auto" w:fill="E8F5E9"/>
            <w:tcMar>
              <w:top w:w="120" w:type="dxa"/>
              <w:left w:w="180" w:type="dxa"/>
              <w:bottom w:w="120" w:type="dxa"/>
              <w:right w:w="180" w:type="dxa"/>
            </w:tcMar>
          </w:tcPr>
          <w:p w14:paraId="62C7FD55" w14:textId="77777777" w:rsidR="009B6E84" w:rsidRDefault="00A0602B">
            <w:pPr>
              <w:spacing w:after="60"/>
            </w:pPr>
            <w:r>
              <w:rPr>
                <w:b/>
                <w:bCs/>
                <w:color w:val="2E7D32"/>
              </w:rPr>
              <w:lastRenderedPageBreak/>
              <w:t>CLEAN / VALIDATED</w:t>
            </w:r>
          </w:p>
          <w:p w14:paraId="62C7FD56" w14:textId="77777777" w:rsidR="009B6E84" w:rsidRDefault="00A0602B">
            <w:r>
              <w:rPr>
                <w:color w:val="222222"/>
                <w:sz w:val="21"/>
                <w:szCs w:val="21"/>
              </w:rPr>
              <w:t>Zero orphaned foreign keys across all six relationships (</w:t>
            </w:r>
            <w:proofErr w:type="spellStart"/>
            <w:r>
              <w:rPr>
                <w:color w:val="222222"/>
                <w:sz w:val="21"/>
                <w:szCs w:val="21"/>
              </w:rPr>
              <w:t>orders→customers</w:t>
            </w:r>
            <w:proofErr w:type="spellEnd"/>
            <w:r>
              <w:rPr>
                <w:color w:val="222222"/>
                <w:sz w:val="21"/>
                <w:szCs w:val="21"/>
              </w:rPr>
              <w:t xml:space="preserve">, </w:t>
            </w:r>
            <w:proofErr w:type="spellStart"/>
            <w:r>
              <w:rPr>
                <w:color w:val="222222"/>
                <w:sz w:val="21"/>
                <w:szCs w:val="21"/>
              </w:rPr>
              <w:t>order_items→orders</w:t>
            </w:r>
            <w:proofErr w:type="spellEnd"/>
            <w:r>
              <w:rPr>
                <w:color w:val="222222"/>
                <w:sz w:val="21"/>
                <w:szCs w:val="21"/>
              </w:rPr>
              <w:t xml:space="preserve">/products/sellers, </w:t>
            </w:r>
            <w:proofErr w:type="spellStart"/>
            <w:r>
              <w:rPr>
                <w:color w:val="222222"/>
                <w:sz w:val="21"/>
                <w:szCs w:val="21"/>
              </w:rPr>
              <w:t>payments→orders</w:t>
            </w:r>
            <w:proofErr w:type="spellEnd"/>
            <w:r>
              <w:rPr>
                <w:color w:val="222222"/>
                <w:sz w:val="21"/>
                <w:szCs w:val="21"/>
              </w:rPr>
              <w:t xml:space="preserve">, </w:t>
            </w:r>
            <w:proofErr w:type="spellStart"/>
            <w:r>
              <w:rPr>
                <w:color w:val="222222"/>
                <w:sz w:val="21"/>
                <w:szCs w:val="21"/>
              </w:rPr>
              <w:t>reviews→orders</w:t>
            </w:r>
            <w:proofErr w:type="spellEnd"/>
            <w:r>
              <w:rPr>
                <w:color w:val="222222"/>
                <w:sz w:val="21"/>
                <w:szCs w:val="21"/>
              </w:rPr>
              <w:t>). This confirms the data load was structurally sound before we added any constraints.</w:t>
            </w:r>
          </w:p>
        </w:tc>
      </w:tr>
    </w:tbl>
    <w:p w14:paraId="62C7FD58" w14:textId="77777777" w:rsidR="009B6E84" w:rsidRDefault="009B6E84">
      <w:pPr>
        <w:spacing w:after="120"/>
      </w:pPr>
    </w:p>
    <w:tbl>
      <w:tblPr>
        <w:tblW w:w="9350" w:type="dxa"/>
        <w:tblBorders>
          <w:top w:val="single" w:sz="4" w:space="0" w:color="8A6D00"/>
          <w:left w:val="single" w:sz="24" w:space="0" w:color="8A6D00"/>
          <w:bottom w:val="single" w:sz="4" w:space="0" w:color="8A6D00"/>
          <w:right w:val="single" w:sz="4" w:space="0" w:color="8A6D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5B" w14:textId="77777777">
        <w:tblPrEx>
          <w:tblCellMar>
            <w:top w:w="0" w:type="dxa"/>
            <w:bottom w:w="0" w:type="dxa"/>
          </w:tblCellMar>
        </w:tblPrEx>
        <w:tc>
          <w:tcPr>
            <w:tcW w:w="9350" w:type="dxa"/>
            <w:shd w:val="clear" w:color="auto" w:fill="FFF8E1"/>
            <w:tcMar>
              <w:top w:w="120" w:type="dxa"/>
              <w:left w:w="180" w:type="dxa"/>
              <w:bottom w:w="120" w:type="dxa"/>
              <w:right w:w="180" w:type="dxa"/>
            </w:tcMar>
          </w:tcPr>
          <w:p w14:paraId="62C7FD59" w14:textId="77777777" w:rsidR="009B6E84" w:rsidRDefault="00A0602B">
            <w:pPr>
              <w:spacing w:after="60"/>
            </w:pPr>
            <w:r>
              <w:rPr>
                <w:b/>
                <w:bCs/>
                <w:color w:val="8A6D00"/>
              </w:rPr>
              <w:t>DATA QUALITY NOTE</w:t>
            </w:r>
          </w:p>
          <w:p w14:paraId="62C7FD5A" w14:textId="77777777" w:rsidR="009B6E84" w:rsidRDefault="00A0602B">
            <w:r>
              <w:rPr>
                <w:color w:val="222222"/>
                <w:sz w:val="21"/>
                <w:szCs w:val="21"/>
              </w:rPr>
              <w:t>8 orders are marked status = "delivered" but have a NULL delivery date — a genuine contradiction in the source data. These were flagged and excluded from any delivery-time calculation rather than silently producing wrong numbers.</w:t>
            </w:r>
          </w:p>
        </w:tc>
      </w:tr>
    </w:tbl>
    <w:p w14:paraId="62C7FD5C" w14:textId="77777777" w:rsidR="009B6E84" w:rsidRDefault="009B6E84">
      <w:pPr>
        <w:spacing w:after="120"/>
      </w:pPr>
    </w:p>
    <w:tbl>
      <w:tblPr>
        <w:tblW w:w="9350" w:type="dxa"/>
        <w:tblBorders>
          <w:top w:val="single" w:sz="4" w:space="0" w:color="8A6D00"/>
          <w:left w:val="single" w:sz="24" w:space="0" w:color="8A6D00"/>
          <w:bottom w:val="single" w:sz="4" w:space="0" w:color="8A6D00"/>
          <w:right w:val="single" w:sz="4" w:space="0" w:color="8A6D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5F" w14:textId="77777777">
        <w:tblPrEx>
          <w:tblCellMar>
            <w:top w:w="0" w:type="dxa"/>
            <w:bottom w:w="0" w:type="dxa"/>
          </w:tblCellMar>
        </w:tblPrEx>
        <w:tc>
          <w:tcPr>
            <w:tcW w:w="9350" w:type="dxa"/>
            <w:shd w:val="clear" w:color="auto" w:fill="FFF8E1"/>
            <w:tcMar>
              <w:top w:w="120" w:type="dxa"/>
              <w:left w:w="180" w:type="dxa"/>
              <w:bottom w:w="120" w:type="dxa"/>
              <w:right w:w="180" w:type="dxa"/>
            </w:tcMar>
          </w:tcPr>
          <w:p w14:paraId="62C7FD5D" w14:textId="77777777" w:rsidR="009B6E84" w:rsidRDefault="00A0602B">
            <w:pPr>
              <w:spacing w:after="60"/>
            </w:pPr>
            <w:r>
              <w:rPr>
                <w:b/>
                <w:bCs/>
                <w:color w:val="8A6D00"/>
              </w:rPr>
              <w:t>DATA QUALITY NOTE</w:t>
            </w:r>
          </w:p>
          <w:p w14:paraId="62C7FD5E" w14:textId="77777777" w:rsidR="009B6E84" w:rsidRDefault="00A0602B">
            <w:r>
              <w:rPr>
                <w:color w:val="222222"/>
                <w:sz w:val="21"/>
                <w:szCs w:val="21"/>
              </w:rPr>
              <w:t xml:space="preserve">610 products (about 2% of the </w:t>
            </w:r>
            <w:proofErr w:type="spellStart"/>
            <w:r>
              <w:rPr>
                <w:color w:val="222222"/>
                <w:sz w:val="21"/>
                <w:szCs w:val="21"/>
              </w:rPr>
              <w:t>catalog</w:t>
            </w:r>
            <w:proofErr w:type="spellEnd"/>
            <w:r>
              <w:rPr>
                <w:color w:val="222222"/>
                <w:sz w:val="21"/>
                <w:szCs w:val="21"/>
              </w:rPr>
              <w:t>) have no category assigned at all, and 2 additional categories existed with no English translation available. Both were handled with COALESCE fallbacks rather than dropping rows, which would have silently biased any category-level analysis.</w:t>
            </w:r>
          </w:p>
        </w:tc>
      </w:tr>
    </w:tbl>
    <w:p w14:paraId="62C7FD60" w14:textId="77777777" w:rsidR="009B6E84" w:rsidRDefault="009B6E84">
      <w:pPr>
        <w:spacing w:after="120"/>
      </w:pPr>
    </w:p>
    <w:tbl>
      <w:tblPr>
        <w:tblW w:w="9350" w:type="dxa"/>
        <w:tblBorders>
          <w:top w:val="single" w:sz="4" w:space="0" w:color="8A6D00"/>
          <w:left w:val="single" w:sz="24" w:space="0" w:color="8A6D00"/>
          <w:bottom w:val="single" w:sz="4" w:space="0" w:color="8A6D00"/>
          <w:right w:val="single" w:sz="4" w:space="0" w:color="8A6D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63" w14:textId="77777777">
        <w:tblPrEx>
          <w:tblCellMar>
            <w:top w:w="0" w:type="dxa"/>
            <w:bottom w:w="0" w:type="dxa"/>
          </w:tblCellMar>
        </w:tblPrEx>
        <w:tc>
          <w:tcPr>
            <w:tcW w:w="9350" w:type="dxa"/>
            <w:shd w:val="clear" w:color="auto" w:fill="FFF8E1"/>
            <w:tcMar>
              <w:top w:w="120" w:type="dxa"/>
              <w:left w:w="180" w:type="dxa"/>
              <w:bottom w:w="120" w:type="dxa"/>
              <w:right w:w="180" w:type="dxa"/>
            </w:tcMar>
          </w:tcPr>
          <w:p w14:paraId="62C7FD61" w14:textId="77777777" w:rsidR="009B6E84" w:rsidRDefault="00A0602B">
            <w:pPr>
              <w:spacing w:after="60"/>
            </w:pPr>
            <w:r>
              <w:rPr>
                <w:b/>
                <w:bCs/>
                <w:color w:val="8A6D00"/>
              </w:rPr>
              <w:t>DATA QUALITY NOTE</w:t>
            </w:r>
          </w:p>
          <w:p w14:paraId="62C7FD62" w14:textId="77777777" w:rsidR="009B6E84" w:rsidRDefault="00A0602B">
            <w:r>
              <w:rPr>
                <w:color w:val="222222"/>
                <w:sz w:val="21"/>
                <w:szCs w:val="21"/>
              </w:rPr>
              <w:t xml:space="preserve">A small number of </w:t>
            </w:r>
            <w:proofErr w:type="spellStart"/>
            <w:r>
              <w:rPr>
                <w:color w:val="222222"/>
                <w:sz w:val="21"/>
                <w:szCs w:val="21"/>
              </w:rPr>
              <w:t>review_id</w:t>
            </w:r>
            <w:proofErr w:type="spellEnd"/>
            <w:r>
              <w:rPr>
                <w:color w:val="222222"/>
                <w:sz w:val="21"/>
                <w:szCs w:val="21"/>
              </w:rPr>
              <w:t xml:space="preserve"> values appear multiple times in the raw reviews table (duplicate reviews tied to the same order). Handled in Phase 2 using PostgreSQL's DISTINCT ON to keep only the most recent review per order.</w:t>
            </w:r>
          </w:p>
        </w:tc>
      </w:tr>
    </w:tbl>
    <w:p w14:paraId="62C7FD64" w14:textId="77777777" w:rsidR="009B6E84" w:rsidRDefault="009B6E84">
      <w:pPr>
        <w:spacing w:after="240"/>
      </w:pPr>
    </w:p>
    <w:p w14:paraId="62C7FD65" w14:textId="77777777" w:rsidR="009B6E84" w:rsidRDefault="00A0602B">
      <w:pPr>
        <w:pStyle w:val="Heading2"/>
        <w:spacing w:before="360" w:after="160"/>
      </w:pPr>
      <w:r>
        <w:t>Phase 2 — SQL Feature Engineering &amp; Analysis</w:t>
      </w:r>
    </w:p>
    <w:p w14:paraId="62C7FD66" w14:textId="77777777" w:rsidR="009B6E84" w:rsidRDefault="00A0602B">
      <w:pPr>
        <w:spacing w:after="160"/>
      </w:pPr>
      <w:r>
        <w:t xml:space="preserve">Goal: build the analysis-ready feature layer directly in SQL, and answer the first round of descriptive and diagnostic business questions before any Python </w:t>
      </w:r>
      <w:proofErr w:type="spellStart"/>
      <w:r>
        <w:t>modeling</w:t>
      </w:r>
      <w:proofErr w:type="spellEnd"/>
      <w:r>
        <w:t xml:space="preserve"> begins.</w:t>
      </w:r>
    </w:p>
    <w:p w14:paraId="62C7FD67" w14:textId="77777777" w:rsidR="009B6E84" w:rsidRDefault="00A0602B">
      <w:pPr>
        <w:pStyle w:val="Heading3"/>
        <w:spacing w:before="240" w:after="120"/>
      </w:pPr>
      <w:r>
        <w:t>1. Core Feature Views</w:t>
      </w:r>
    </w:p>
    <w:p w14:paraId="62C7FD68" w14:textId="77777777" w:rsidR="009B6E84" w:rsidRDefault="00A0602B">
      <w:pPr>
        <w:spacing w:after="160"/>
      </w:pPr>
      <w:r>
        <w:rPr>
          <w:b/>
          <w:bCs/>
        </w:rPr>
        <w:t xml:space="preserve">Technical: </w:t>
      </w:r>
      <w:r>
        <w:t xml:space="preserve">Built two views — </w:t>
      </w:r>
      <w:proofErr w:type="spellStart"/>
      <w:r>
        <w:t>order_features</w:t>
      </w:r>
      <w:proofErr w:type="spellEnd"/>
      <w:r>
        <w:t xml:space="preserve"> (one row per order, with delivery/handling/transit time, lateness flag, and a deduplicated review score) and </w:t>
      </w:r>
      <w:proofErr w:type="spellStart"/>
      <w:r>
        <w:t>order_items_enriched</w:t>
      </w:r>
      <w:proofErr w:type="spellEnd"/>
      <w:r>
        <w:t xml:space="preserve"> (one row per purchased item, with resolved product category).</w:t>
      </w:r>
    </w:p>
    <w:p w14:paraId="62C7FD69" w14:textId="77777777" w:rsidR="009B6E84" w:rsidRDefault="00A0602B">
      <w:pPr>
        <w:spacing w:after="160"/>
      </w:pPr>
      <w:r>
        <w:rPr>
          <w:b/>
          <w:bCs/>
        </w:rPr>
        <w:t xml:space="preserve">In plain terms: </w:t>
      </w:r>
      <w:r>
        <w:t>Delivery speed and satisfaction are order-level facts, but product category lives at the item level (since one order can contain several categories). Rather than force everything into one table and get the grain wrong, we built two views, each suited to the question it answers.</w:t>
      </w:r>
    </w:p>
    <w:tbl>
      <w:tblPr>
        <w:tblW w:w="9350" w:type="dxa"/>
        <w:tblBorders>
          <w:top w:val="single" w:sz="4" w:space="0" w:color="1565C0"/>
          <w:left w:val="single" w:sz="24" w:space="0" w:color="1565C0"/>
          <w:bottom w:val="single" w:sz="4" w:space="0" w:color="1565C0"/>
          <w:right w:val="single" w:sz="4"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6C" w14:textId="77777777">
        <w:tblPrEx>
          <w:tblCellMar>
            <w:top w:w="0" w:type="dxa"/>
            <w:bottom w:w="0" w:type="dxa"/>
          </w:tblCellMar>
        </w:tblPrEx>
        <w:tc>
          <w:tcPr>
            <w:tcW w:w="9350" w:type="dxa"/>
            <w:shd w:val="clear" w:color="auto" w:fill="E3F2FD"/>
            <w:tcMar>
              <w:top w:w="120" w:type="dxa"/>
              <w:left w:w="180" w:type="dxa"/>
              <w:bottom w:w="120" w:type="dxa"/>
              <w:right w:w="180" w:type="dxa"/>
            </w:tcMar>
          </w:tcPr>
          <w:p w14:paraId="62C7FD6A" w14:textId="77777777" w:rsidR="009B6E84" w:rsidRDefault="00A0602B">
            <w:pPr>
              <w:spacing w:after="60"/>
            </w:pPr>
            <w:r>
              <w:rPr>
                <w:b/>
                <w:bCs/>
                <w:color w:val="1565C0"/>
              </w:rPr>
              <w:t>TECHNICAL CONCEPT</w:t>
            </w:r>
          </w:p>
          <w:p w14:paraId="62C7FD6B" w14:textId="77777777" w:rsidR="009B6E84" w:rsidRDefault="00A0602B">
            <w:r>
              <w:rPr>
                <w:color w:val="222222"/>
                <w:sz w:val="21"/>
                <w:szCs w:val="21"/>
              </w:rPr>
              <w:t>DISTINCT ON (</w:t>
            </w:r>
            <w:proofErr w:type="spellStart"/>
            <w:r>
              <w:rPr>
                <w:color w:val="222222"/>
                <w:sz w:val="21"/>
                <w:szCs w:val="21"/>
              </w:rPr>
              <w:t>order_id</w:t>
            </w:r>
            <w:proofErr w:type="spellEnd"/>
            <w:r>
              <w:rPr>
                <w:color w:val="222222"/>
                <w:sz w:val="21"/>
                <w:szCs w:val="21"/>
              </w:rPr>
              <w:t>), ordered by most recent timestamp, was used to collapse duplicate reviews down to one-per-order in a single clean step — a PostgreSQL-specific technique, cleaner than a manual subquery.</w:t>
            </w:r>
          </w:p>
        </w:tc>
      </w:tr>
    </w:tbl>
    <w:p w14:paraId="62C7FD6D" w14:textId="77777777" w:rsidR="009B6E84" w:rsidRDefault="00A0602B">
      <w:pPr>
        <w:pStyle w:val="Heading3"/>
        <w:spacing w:before="240" w:after="120"/>
      </w:pPr>
      <w:r>
        <w:t>2. Naive Baseline: Review Score by Delivery Speed</w:t>
      </w:r>
    </w:p>
    <w:p w14:paraId="62C7FD6E" w14:textId="77777777" w:rsidR="009B6E84" w:rsidRDefault="00A0602B">
      <w:pPr>
        <w:spacing w:after="160"/>
      </w:pPr>
      <w:r>
        <w:rPr>
          <w:b/>
          <w:bCs/>
        </w:rPr>
        <w:t xml:space="preserve">Technical: </w:t>
      </w:r>
      <w:r>
        <w:t xml:space="preserve">Bucketed orders by </w:t>
      </w:r>
      <w:proofErr w:type="spellStart"/>
      <w:r>
        <w:t>delivery_days</w:t>
      </w:r>
      <w:proofErr w:type="spellEnd"/>
      <w:r>
        <w:t xml:space="preserve"> and computed average review score and % late per bucket.</w:t>
      </w:r>
    </w:p>
    <w:p w14:paraId="62C7FD6F" w14:textId="77777777" w:rsidR="009B6E84" w:rsidRDefault="00A0602B">
      <w:pPr>
        <w:spacing w:after="160"/>
      </w:pPr>
      <w:r>
        <w:rPr>
          <w:b/>
          <w:bCs/>
        </w:rPr>
        <w:t xml:space="preserve">In plain terms: </w:t>
      </w:r>
      <w:r>
        <w:t>This is the simple, “obvious” comparison anyone would run first — does review score drop as delivery gets slower? It does, dramatically: 4.46 (0–3 days) down to 3.01 (22+ days).</w:t>
      </w:r>
    </w:p>
    <w:tbl>
      <w:tblPr>
        <w:tblW w:w="9350" w:type="dxa"/>
        <w:tblBorders>
          <w:top w:val="single" w:sz="4" w:space="0" w:color="B71C1C"/>
          <w:left w:val="single" w:sz="24" w:space="0" w:color="B71C1C"/>
          <w:bottom w:val="single" w:sz="4" w:space="0" w:color="B71C1C"/>
          <w:right w:val="single" w:sz="4" w:space="0" w:color="B7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72" w14:textId="77777777">
        <w:tblPrEx>
          <w:tblCellMar>
            <w:top w:w="0" w:type="dxa"/>
            <w:bottom w:w="0" w:type="dxa"/>
          </w:tblCellMar>
        </w:tblPrEx>
        <w:tc>
          <w:tcPr>
            <w:tcW w:w="9350" w:type="dxa"/>
            <w:shd w:val="clear" w:color="auto" w:fill="FDECEA"/>
            <w:tcMar>
              <w:top w:w="120" w:type="dxa"/>
              <w:left w:w="180" w:type="dxa"/>
              <w:bottom w:w="120" w:type="dxa"/>
              <w:right w:w="180" w:type="dxa"/>
            </w:tcMar>
          </w:tcPr>
          <w:p w14:paraId="62C7FD70" w14:textId="77777777" w:rsidR="009B6E84" w:rsidRDefault="00A0602B">
            <w:pPr>
              <w:spacing w:after="60"/>
            </w:pPr>
            <w:r>
              <w:rPr>
                <w:b/>
                <w:bCs/>
                <w:color w:val="B71C1C"/>
              </w:rPr>
              <w:t>BUSINESS FINDING</w:t>
            </w:r>
          </w:p>
          <w:p w14:paraId="62C7FD71" w14:textId="77777777" w:rsidR="009B6E84" w:rsidRDefault="00A0602B">
            <w:r>
              <w:rPr>
                <w:color w:val="222222"/>
                <w:sz w:val="21"/>
                <w:szCs w:val="21"/>
              </w:rPr>
              <w:lastRenderedPageBreak/>
              <w:t>Average review score fell from 4.46 to 3.01 (about a 33% relative decline) between the fastest and slowest delivery buckets. This is the headline pattern the rest of the project investigates — but it is correlation, not yet proof of causation.</w:t>
            </w:r>
          </w:p>
        </w:tc>
      </w:tr>
    </w:tbl>
    <w:p w14:paraId="62C7FD73" w14:textId="77777777" w:rsidR="009B6E84" w:rsidRDefault="009B6E84">
      <w:pPr>
        <w:spacing w:after="120"/>
      </w:pPr>
    </w:p>
    <w:tbl>
      <w:tblPr>
        <w:tblW w:w="9350" w:type="dxa"/>
        <w:tblBorders>
          <w:top w:val="single" w:sz="4" w:space="0" w:color="1565C0"/>
          <w:left w:val="single" w:sz="24" w:space="0" w:color="1565C0"/>
          <w:bottom w:val="single" w:sz="4" w:space="0" w:color="1565C0"/>
          <w:right w:val="single" w:sz="4"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76" w14:textId="77777777">
        <w:tblPrEx>
          <w:tblCellMar>
            <w:top w:w="0" w:type="dxa"/>
            <w:bottom w:w="0" w:type="dxa"/>
          </w:tblCellMar>
        </w:tblPrEx>
        <w:tc>
          <w:tcPr>
            <w:tcW w:w="9350" w:type="dxa"/>
            <w:shd w:val="clear" w:color="auto" w:fill="E3F2FD"/>
            <w:tcMar>
              <w:top w:w="120" w:type="dxa"/>
              <w:left w:w="180" w:type="dxa"/>
              <w:bottom w:w="120" w:type="dxa"/>
              <w:right w:w="180" w:type="dxa"/>
            </w:tcMar>
          </w:tcPr>
          <w:p w14:paraId="62C7FD74" w14:textId="77777777" w:rsidR="009B6E84" w:rsidRDefault="00A0602B">
            <w:pPr>
              <w:spacing w:after="60"/>
            </w:pPr>
            <w:r>
              <w:rPr>
                <w:b/>
                <w:bCs/>
                <w:color w:val="1565C0"/>
              </w:rPr>
              <w:t>TECHNICAL CONCEPT</w:t>
            </w:r>
          </w:p>
          <w:p w14:paraId="62C7FD75" w14:textId="77777777" w:rsidR="009B6E84" w:rsidRDefault="00A0602B">
            <w:r>
              <w:rPr>
                <w:color w:val="222222"/>
                <w:sz w:val="21"/>
                <w:szCs w:val="21"/>
              </w:rPr>
              <w:t xml:space="preserve">Multicollinearity risk identified: the % of late orders jumped sharply in the slowest bucket (53.8%), meaning </w:t>
            </w:r>
            <w:proofErr w:type="spellStart"/>
            <w:r>
              <w:rPr>
                <w:color w:val="222222"/>
                <w:sz w:val="21"/>
                <w:szCs w:val="21"/>
              </w:rPr>
              <w:t>delivery_days</w:t>
            </w:r>
            <w:proofErr w:type="spellEnd"/>
            <w:r>
              <w:rPr>
                <w:color w:val="222222"/>
                <w:sz w:val="21"/>
                <w:szCs w:val="21"/>
              </w:rPr>
              <w:t xml:space="preserve"> and </w:t>
            </w:r>
            <w:proofErr w:type="spellStart"/>
            <w:r>
              <w:rPr>
                <w:color w:val="222222"/>
                <w:sz w:val="21"/>
                <w:szCs w:val="21"/>
              </w:rPr>
              <w:t>is_late</w:t>
            </w:r>
            <w:proofErr w:type="spellEnd"/>
            <w:r>
              <w:rPr>
                <w:color w:val="222222"/>
                <w:sz w:val="21"/>
                <w:szCs w:val="21"/>
              </w:rPr>
              <w:t xml:space="preserve"> move almost together at the extremes. Including both as independent variables in a future regression without care would make it statistically difficult to separate their individual effects — a problem to handle explicitly in Phase 4, not ignore.</w:t>
            </w:r>
          </w:p>
        </w:tc>
      </w:tr>
    </w:tbl>
    <w:p w14:paraId="62C7FD77" w14:textId="77777777" w:rsidR="009B6E84" w:rsidRDefault="00A0602B">
      <w:pPr>
        <w:pStyle w:val="Heading3"/>
        <w:spacing w:before="240" w:after="120"/>
      </w:pPr>
      <w:r>
        <w:t>3. RFM Customer Segmentation</w:t>
      </w:r>
    </w:p>
    <w:p w14:paraId="62C7FD78" w14:textId="77777777" w:rsidR="009B6E84" w:rsidRDefault="00A0602B">
      <w:pPr>
        <w:spacing w:after="160"/>
      </w:pPr>
      <w:r>
        <w:rPr>
          <w:b/>
          <w:bCs/>
        </w:rPr>
        <w:t xml:space="preserve">Technical: </w:t>
      </w:r>
      <w:r>
        <w:t>Used the NTILE(4) window function to split customers into quartiles on Recency, Frequency, and Monetary value, combining the three into a segment label (Champions, Loyal, At Risk, Lost).</w:t>
      </w:r>
    </w:p>
    <w:p w14:paraId="62C7FD79" w14:textId="77777777" w:rsidR="009B6E84" w:rsidRDefault="00A0602B">
      <w:pPr>
        <w:spacing w:after="160"/>
      </w:pPr>
      <w:r>
        <w:rPr>
          <w:b/>
          <w:bCs/>
        </w:rPr>
        <w:t xml:space="preserve">In plain terms: </w:t>
      </w:r>
      <w:r>
        <w:t>Window functions rank rows without collapsing them the way GROUP BY does — here, NTILE ranked every customer against the whole customer base and split them into four equal-sized tiers per metric, rather than using arbitrary fixed cutoffs.</w:t>
      </w:r>
    </w:p>
    <w:tbl>
      <w:tblPr>
        <w:tblW w:w="9350" w:type="dxa"/>
        <w:tblBorders>
          <w:top w:val="single" w:sz="4" w:space="0" w:color="8A6D00"/>
          <w:left w:val="single" w:sz="24" w:space="0" w:color="8A6D00"/>
          <w:bottom w:val="single" w:sz="4" w:space="0" w:color="8A6D00"/>
          <w:right w:val="single" w:sz="4" w:space="0" w:color="8A6D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7C" w14:textId="77777777">
        <w:tblPrEx>
          <w:tblCellMar>
            <w:top w:w="0" w:type="dxa"/>
            <w:bottom w:w="0" w:type="dxa"/>
          </w:tblCellMar>
        </w:tblPrEx>
        <w:tc>
          <w:tcPr>
            <w:tcW w:w="9350" w:type="dxa"/>
            <w:shd w:val="clear" w:color="auto" w:fill="FFF8E1"/>
            <w:tcMar>
              <w:top w:w="120" w:type="dxa"/>
              <w:left w:w="180" w:type="dxa"/>
              <w:bottom w:w="120" w:type="dxa"/>
              <w:right w:w="180" w:type="dxa"/>
            </w:tcMar>
          </w:tcPr>
          <w:p w14:paraId="62C7FD7A" w14:textId="77777777" w:rsidR="009B6E84" w:rsidRDefault="00A0602B">
            <w:pPr>
              <w:spacing w:after="60"/>
            </w:pPr>
            <w:r>
              <w:rPr>
                <w:b/>
                <w:bCs/>
                <w:color w:val="8A6D00"/>
              </w:rPr>
              <w:t>DATA QUALITY NOTE</w:t>
            </w:r>
          </w:p>
          <w:p w14:paraId="62C7FD7B" w14:textId="77777777" w:rsidR="009B6E84" w:rsidRDefault="00A0602B">
            <w:r>
              <w:rPr>
                <w:color w:val="222222"/>
                <w:sz w:val="21"/>
                <w:szCs w:val="21"/>
              </w:rPr>
              <w:t>Roughly 90% of customers in this dataset placed only one order ever. This makes the "Frequency" dimension of RFM nearly non-discriminating — most "Champions" identified were simply one-time buyers who spent well, not repeat/loyal customers in the traditional sense. Traditional RFM segmentation is a weak lens for this particular business.</w:t>
            </w:r>
          </w:p>
        </w:tc>
      </w:tr>
    </w:tbl>
    <w:p w14:paraId="62C7FD7D" w14:textId="77777777" w:rsidR="009B6E84" w:rsidRDefault="00A0602B">
      <w:pPr>
        <w:pStyle w:val="Heading3"/>
        <w:spacing w:before="240" w:after="120"/>
      </w:pPr>
      <w:r>
        <w:t>4. Repeat-Purchase Cohort Analysis (Self-Join)</w:t>
      </w:r>
    </w:p>
    <w:p w14:paraId="62C7FD7E" w14:textId="77777777" w:rsidR="009B6E84" w:rsidRDefault="00A0602B">
      <w:pPr>
        <w:spacing w:after="160"/>
      </w:pPr>
      <w:r>
        <w:rPr>
          <w:b/>
          <w:bCs/>
        </w:rPr>
        <w:t xml:space="preserve">Technical: </w:t>
      </w:r>
      <w:r>
        <w:t>Self-joined the orders table to itself (matching each customer's 1st order to their 2nd, if one exists) to test whether first-order delivery experience predicts whether a customer returns. Customers whose first order was too recent to have had a fair chance to reorder were excluded (censoring correction).</w:t>
      </w:r>
    </w:p>
    <w:p w14:paraId="62C7FD7F" w14:textId="77777777" w:rsidR="009B6E84" w:rsidRDefault="00A0602B">
      <w:pPr>
        <w:spacing w:after="160"/>
      </w:pPr>
      <w:r>
        <w:rPr>
          <w:b/>
          <w:bCs/>
        </w:rPr>
        <w:t xml:space="preserve">In plain terms: </w:t>
      </w:r>
      <w:r>
        <w:t>A self-join relates rows in a table to other rows in that same table — here, comparing each customer's first purchase to their next one, to see if a bad first experience explains why most customers never come back.</w:t>
      </w:r>
    </w:p>
    <w:tbl>
      <w:tblPr>
        <w:tblW w:w="9350" w:type="dxa"/>
        <w:tblBorders>
          <w:top w:val="single" w:sz="4" w:space="0" w:color="B71C1C"/>
          <w:left w:val="single" w:sz="24" w:space="0" w:color="B71C1C"/>
          <w:bottom w:val="single" w:sz="4" w:space="0" w:color="B71C1C"/>
          <w:right w:val="single" w:sz="4" w:space="0" w:color="B7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82" w14:textId="77777777">
        <w:tblPrEx>
          <w:tblCellMar>
            <w:top w:w="0" w:type="dxa"/>
            <w:bottom w:w="0" w:type="dxa"/>
          </w:tblCellMar>
        </w:tblPrEx>
        <w:tc>
          <w:tcPr>
            <w:tcW w:w="9350" w:type="dxa"/>
            <w:shd w:val="clear" w:color="auto" w:fill="FDECEA"/>
            <w:tcMar>
              <w:top w:w="120" w:type="dxa"/>
              <w:left w:w="180" w:type="dxa"/>
              <w:bottom w:w="120" w:type="dxa"/>
              <w:right w:w="180" w:type="dxa"/>
            </w:tcMar>
          </w:tcPr>
          <w:p w14:paraId="62C7FD80" w14:textId="77777777" w:rsidR="009B6E84" w:rsidRDefault="00A0602B">
            <w:pPr>
              <w:spacing w:after="60"/>
            </w:pPr>
            <w:r>
              <w:rPr>
                <w:b/>
                <w:bCs/>
                <w:color w:val="B71C1C"/>
              </w:rPr>
              <w:t>BUSINESS FINDING</w:t>
            </w:r>
          </w:p>
          <w:p w14:paraId="62C7FD81" w14:textId="77777777" w:rsidR="009B6E84" w:rsidRDefault="00A0602B">
            <w:r>
              <w:rPr>
                <w:color w:val="222222"/>
                <w:sz w:val="21"/>
                <w:szCs w:val="21"/>
              </w:rPr>
              <w:t>Repeat-purchase rate declined only modestly with slower first-order delivery (3.36% fast vs. 3.09% slow — about an 8% relative drop), compared to the much larger 33% relative decline in review scores. This suggests slow delivery damages immediate satisfaction (and public reviews) far more than it damages long-term retention specifically.</w:t>
            </w:r>
          </w:p>
        </w:tc>
      </w:tr>
    </w:tbl>
    <w:p w14:paraId="62C7FD83" w14:textId="77777777" w:rsidR="009B6E84" w:rsidRDefault="009B6E84">
      <w:pPr>
        <w:spacing w:after="120"/>
      </w:pPr>
    </w:p>
    <w:tbl>
      <w:tblPr>
        <w:tblW w:w="9350" w:type="dxa"/>
        <w:tblBorders>
          <w:top w:val="single" w:sz="4" w:space="0" w:color="1565C0"/>
          <w:left w:val="single" w:sz="24" w:space="0" w:color="1565C0"/>
          <w:bottom w:val="single" w:sz="4" w:space="0" w:color="1565C0"/>
          <w:right w:val="single" w:sz="4"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86" w14:textId="77777777">
        <w:tblPrEx>
          <w:tblCellMar>
            <w:top w:w="0" w:type="dxa"/>
            <w:bottom w:w="0" w:type="dxa"/>
          </w:tblCellMar>
        </w:tblPrEx>
        <w:tc>
          <w:tcPr>
            <w:tcW w:w="9350" w:type="dxa"/>
            <w:shd w:val="clear" w:color="auto" w:fill="E3F2FD"/>
            <w:tcMar>
              <w:top w:w="120" w:type="dxa"/>
              <w:left w:w="180" w:type="dxa"/>
              <w:bottom w:w="120" w:type="dxa"/>
              <w:right w:w="180" w:type="dxa"/>
            </w:tcMar>
          </w:tcPr>
          <w:p w14:paraId="62C7FD84" w14:textId="77777777" w:rsidR="009B6E84" w:rsidRDefault="00A0602B">
            <w:pPr>
              <w:spacing w:after="60"/>
            </w:pPr>
            <w:r>
              <w:rPr>
                <w:b/>
                <w:bCs/>
                <w:color w:val="1565C0"/>
              </w:rPr>
              <w:t>TECHNICAL CONCEPT</w:t>
            </w:r>
          </w:p>
          <w:p w14:paraId="62C7FD85" w14:textId="77777777" w:rsidR="009B6E84" w:rsidRDefault="00A0602B">
            <w:r>
              <w:rPr>
                <w:color w:val="222222"/>
                <w:sz w:val="21"/>
                <w:szCs w:val="21"/>
              </w:rPr>
              <w:t>Censoring bias was corrected by excluding customers whose first order happened too recently to have realistically produced a second order yet — without this, the repeat-purchase rate would have been artificially deflated.</w:t>
            </w:r>
          </w:p>
        </w:tc>
      </w:tr>
    </w:tbl>
    <w:p w14:paraId="62C7FD87" w14:textId="77777777" w:rsidR="009B6E84" w:rsidRDefault="00A0602B">
      <w:pPr>
        <w:pStyle w:val="Heading3"/>
        <w:spacing w:before="240" w:after="120"/>
      </w:pPr>
      <w:r>
        <w:t>5. Category × Region Summary</w:t>
      </w:r>
    </w:p>
    <w:p w14:paraId="62C7FD88" w14:textId="77777777" w:rsidR="009B6E84" w:rsidRDefault="00A0602B">
      <w:pPr>
        <w:spacing w:after="160"/>
      </w:pPr>
      <w:r>
        <w:rPr>
          <w:b/>
          <w:bCs/>
        </w:rPr>
        <w:t xml:space="preserve">Technical: </w:t>
      </w:r>
      <w:r>
        <w:t>Joined item-level category data to order-level region, review, and delivery data, aggregated with a minimum order-count threshold to avoid noisy small-sample cells.</w:t>
      </w:r>
    </w:p>
    <w:p w14:paraId="62C7FD89" w14:textId="77777777" w:rsidR="009B6E84" w:rsidRDefault="00A0602B">
      <w:pPr>
        <w:spacing w:after="160"/>
      </w:pPr>
      <w:r>
        <w:rPr>
          <w:b/>
          <w:bCs/>
        </w:rPr>
        <w:t xml:space="preserve">In plain terms: </w:t>
      </w:r>
      <w:r>
        <w:t>This builds the feed for a geographic/category heatmap — where in the business are satisfaction and delivery problems concentrated, and in which product categories?</w:t>
      </w:r>
    </w:p>
    <w:tbl>
      <w:tblPr>
        <w:tblW w:w="9350" w:type="dxa"/>
        <w:tblBorders>
          <w:top w:val="single" w:sz="4" w:space="0" w:color="B71C1C"/>
          <w:left w:val="single" w:sz="24" w:space="0" w:color="B71C1C"/>
          <w:bottom w:val="single" w:sz="4" w:space="0" w:color="B71C1C"/>
          <w:right w:val="single" w:sz="4" w:space="0" w:color="B7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8C" w14:textId="77777777">
        <w:tblPrEx>
          <w:tblCellMar>
            <w:top w:w="0" w:type="dxa"/>
            <w:bottom w:w="0" w:type="dxa"/>
          </w:tblCellMar>
        </w:tblPrEx>
        <w:tc>
          <w:tcPr>
            <w:tcW w:w="9350" w:type="dxa"/>
            <w:shd w:val="clear" w:color="auto" w:fill="FDECEA"/>
            <w:tcMar>
              <w:top w:w="120" w:type="dxa"/>
              <w:left w:w="180" w:type="dxa"/>
              <w:bottom w:w="120" w:type="dxa"/>
              <w:right w:w="180" w:type="dxa"/>
            </w:tcMar>
          </w:tcPr>
          <w:p w14:paraId="62C7FD8A" w14:textId="77777777" w:rsidR="009B6E84" w:rsidRDefault="00A0602B">
            <w:pPr>
              <w:spacing w:after="60"/>
            </w:pPr>
            <w:r>
              <w:rPr>
                <w:b/>
                <w:bCs/>
                <w:color w:val="B71C1C"/>
              </w:rPr>
              <w:lastRenderedPageBreak/>
              <w:t>BUSINESS FINDING</w:t>
            </w:r>
          </w:p>
          <w:p w14:paraId="62C7FD8B" w14:textId="77777777" w:rsidR="009B6E84" w:rsidRDefault="00A0602B">
            <w:r>
              <w:rPr>
                <w:color w:val="222222"/>
                <w:sz w:val="21"/>
                <w:szCs w:val="21"/>
              </w:rPr>
              <w:t xml:space="preserve">São Paulo (SP) dominates revenue across every top category, consistent with it being Brazil's main logistics hub — meaning national averages may be masking much worse performance in other regions. Additionally, categories vary in their satisfaction "ceiling" independent of delivery: </w:t>
            </w:r>
            <w:proofErr w:type="spellStart"/>
            <w:r>
              <w:rPr>
                <w:color w:val="222222"/>
                <w:sz w:val="21"/>
                <w:szCs w:val="21"/>
              </w:rPr>
              <w:t>health_beauty</w:t>
            </w:r>
            <w:proofErr w:type="spellEnd"/>
            <w:r>
              <w:rPr>
                <w:color w:val="222222"/>
                <w:sz w:val="21"/>
                <w:szCs w:val="21"/>
              </w:rPr>
              <w:t xml:space="preserve"> had the highest late rate (7.4%) but still scored well (4.22), while </w:t>
            </w:r>
            <w:proofErr w:type="spellStart"/>
            <w:r>
              <w:rPr>
                <w:color w:val="222222"/>
                <w:sz w:val="21"/>
                <w:szCs w:val="21"/>
              </w:rPr>
              <w:t>bed_bath_table</w:t>
            </w:r>
            <w:proofErr w:type="spellEnd"/>
            <w:r>
              <w:rPr>
                <w:color w:val="222222"/>
                <w:sz w:val="21"/>
                <w:szCs w:val="21"/>
              </w:rPr>
              <w:t xml:space="preserve"> had a lower score (4.03) despite average delivery performance — confirming that category itself is a confounder that must be controlled for, not delivery speed alone.</w:t>
            </w:r>
          </w:p>
        </w:tc>
      </w:tr>
    </w:tbl>
    <w:p w14:paraId="62C7FD8D" w14:textId="77777777" w:rsidR="009B6E84" w:rsidRDefault="00A0602B">
      <w:pPr>
        <w:pStyle w:val="Heading3"/>
        <w:spacing w:before="240" w:after="120"/>
      </w:pPr>
      <w:r>
        <w:t>6. Seller Performance Leaderboard</w:t>
      </w:r>
    </w:p>
    <w:p w14:paraId="62C7FD8E" w14:textId="77777777" w:rsidR="009B6E84" w:rsidRDefault="00A0602B">
      <w:pPr>
        <w:spacing w:after="160"/>
      </w:pPr>
      <w:r>
        <w:rPr>
          <w:b/>
          <w:bCs/>
        </w:rPr>
        <w:t xml:space="preserve">Technical: </w:t>
      </w:r>
      <w:r>
        <w:t>Ranked sellers by revenue and by satisfaction using RANK() and ROW_NUMBER(), then isolated sellers who rank in the top 50 for revenue but bottom 50 for satisfaction.</w:t>
      </w:r>
    </w:p>
    <w:p w14:paraId="62C7FD8F" w14:textId="77777777" w:rsidR="009B6E84" w:rsidRDefault="00A0602B">
      <w:pPr>
        <w:spacing w:after="160"/>
      </w:pPr>
      <w:r>
        <w:rPr>
          <w:b/>
          <w:bCs/>
        </w:rPr>
        <w:t xml:space="preserve">In plain terms: </w:t>
      </w:r>
      <w:r>
        <w:t>RANK() and ROW_NUMBER() both assign an order to rows, but handle ties differently — RANK() lets tied rows share a rank and skips the next number, while ROW_NUMBER() always assigns a strict, unique sequence.</w:t>
      </w:r>
    </w:p>
    <w:tbl>
      <w:tblPr>
        <w:tblW w:w="9350" w:type="dxa"/>
        <w:tblBorders>
          <w:top w:val="single" w:sz="4" w:space="0" w:color="B71C1C"/>
          <w:left w:val="single" w:sz="24" w:space="0" w:color="B71C1C"/>
          <w:bottom w:val="single" w:sz="4" w:space="0" w:color="B71C1C"/>
          <w:right w:val="single" w:sz="4" w:space="0" w:color="B7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B6E84" w14:paraId="62C7FD92" w14:textId="77777777">
        <w:tblPrEx>
          <w:tblCellMar>
            <w:top w:w="0" w:type="dxa"/>
            <w:bottom w:w="0" w:type="dxa"/>
          </w:tblCellMar>
        </w:tblPrEx>
        <w:tc>
          <w:tcPr>
            <w:tcW w:w="9350" w:type="dxa"/>
            <w:shd w:val="clear" w:color="auto" w:fill="FDECEA"/>
            <w:tcMar>
              <w:top w:w="120" w:type="dxa"/>
              <w:left w:w="180" w:type="dxa"/>
              <w:bottom w:w="120" w:type="dxa"/>
              <w:right w:w="180" w:type="dxa"/>
            </w:tcMar>
          </w:tcPr>
          <w:p w14:paraId="62C7FD90" w14:textId="77777777" w:rsidR="009B6E84" w:rsidRDefault="00A0602B">
            <w:pPr>
              <w:spacing w:after="60"/>
            </w:pPr>
            <w:r>
              <w:rPr>
                <w:b/>
                <w:bCs/>
                <w:color w:val="B71C1C"/>
              </w:rPr>
              <w:t>BUSINESS FINDING</w:t>
            </w:r>
          </w:p>
          <w:p w14:paraId="62C7FD91" w14:textId="77777777" w:rsidR="009B6E84" w:rsidRDefault="00A0602B">
            <w:r>
              <w:rPr>
                <w:color w:val="222222"/>
                <w:sz w:val="21"/>
                <w:szCs w:val="21"/>
              </w:rPr>
              <w:t>The platform's 5th-highest-revenue seller ($186.5K, 976 orders, based in SP) has an average review score of just 3.35 — meaningfully below the ~4.1–4.2 platform norm seen elsewhere. This is a concrete, named business risk: a high-volume seller actively dragging down customer satisfaction, worth flagging as a specific recommendation in the executive summary.</w:t>
            </w:r>
          </w:p>
        </w:tc>
      </w:tr>
    </w:tbl>
    <w:p w14:paraId="62C7FD93" w14:textId="77777777" w:rsidR="009B6E84" w:rsidRDefault="009B6E84">
      <w:pPr>
        <w:spacing w:after="200"/>
      </w:pPr>
    </w:p>
    <w:p w14:paraId="62C7FD94" w14:textId="77777777" w:rsidR="009B6E84" w:rsidRDefault="00A0602B">
      <w:pPr>
        <w:pStyle w:val="Heading2"/>
        <w:spacing w:before="360" w:after="160"/>
      </w:pPr>
      <w:r>
        <w:t>Summary: What This Demonstrates</w:t>
      </w:r>
    </w:p>
    <w:p w14:paraId="62C7FD95" w14:textId="77777777" w:rsidR="009B6E84" w:rsidRDefault="00A0602B">
      <w:pPr>
        <w:pStyle w:val="ListParagraph"/>
        <w:numPr>
          <w:ilvl w:val="0"/>
          <w:numId w:val="2"/>
        </w:numPr>
        <w:spacing w:after="80"/>
      </w:pPr>
      <w:r>
        <w:t>Relational database design with deliberate, justified schema decisions (types, constraints, grain)</w:t>
      </w:r>
    </w:p>
    <w:p w14:paraId="62C7FD96" w14:textId="77777777" w:rsidR="009B6E84" w:rsidRDefault="00A0602B">
      <w:pPr>
        <w:pStyle w:val="ListParagraph"/>
        <w:numPr>
          <w:ilvl w:val="0"/>
          <w:numId w:val="2"/>
        </w:numPr>
        <w:spacing w:after="80"/>
      </w:pPr>
      <w:r>
        <w:t>Systematic data validation before trusting a dataset, not just assuming it's clean</w:t>
      </w:r>
    </w:p>
    <w:p w14:paraId="62C7FD97" w14:textId="77777777" w:rsidR="009B6E84" w:rsidRDefault="00A0602B">
      <w:pPr>
        <w:pStyle w:val="ListParagraph"/>
        <w:numPr>
          <w:ilvl w:val="0"/>
          <w:numId w:val="2"/>
        </w:numPr>
        <w:spacing w:after="80"/>
      </w:pPr>
      <w:r>
        <w:t>Advanced SQL: CTEs, window functions (NTILE, RANK, ROW_NUMBER), self-joins, and careful handling of grain mismatches</w:t>
      </w:r>
    </w:p>
    <w:p w14:paraId="62C7FD98" w14:textId="77777777" w:rsidR="009B6E84" w:rsidRDefault="00A0602B">
      <w:pPr>
        <w:pStyle w:val="ListParagraph"/>
        <w:numPr>
          <w:ilvl w:val="0"/>
          <w:numId w:val="2"/>
        </w:numPr>
        <w:spacing w:after="80"/>
      </w:pPr>
      <w:r>
        <w:t>Statistical discipline: recognizing correlation vs. causation, multicollinearity risk, and censoring bias before drawing conclusions</w:t>
      </w:r>
    </w:p>
    <w:p w14:paraId="62C7FD99" w14:textId="77777777" w:rsidR="009B6E84" w:rsidRDefault="00A0602B">
      <w:pPr>
        <w:pStyle w:val="ListParagraph"/>
        <w:numPr>
          <w:ilvl w:val="0"/>
          <w:numId w:val="2"/>
        </w:numPr>
        <w:spacing w:after="80"/>
      </w:pPr>
      <w:r>
        <w:t>Business-relevant findings translated from raw SQL output into concrete, actionable insight</w:t>
      </w:r>
    </w:p>
    <w:sectPr w:rsidR="009B6E8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FC2C8D"/>
    <w:multiLevelType w:val="hybridMultilevel"/>
    <w:tmpl w:val="D09A3C1C"/>
    <w:lvl w:ilvl="0" w:tplc="62D60CCA">
      <w:start w:val="1"/>
      <w:numFmt w:val="bullet"/>
      <w:lvlText w:val="•"/>
      <w:lvlJc w:val="left"/>
      <w:pPr>
        <w:ind w:left="360" w:hanging="260"/>
      </w:pPr>
    </w:lvl>
    <w:lvl w:ilvl="1" w:tplc="0E505922">
      <w:numFmt w:val="decimal"/>
      <w:lvlText w:val=""/>
      <w:lvlJc w:val="left"/>
    </w:lvl>
    <w:lvl w:ilvl="2" w:tplc="EDBE322A">
      <w:numFmt w:val="decimal"/>
      <w:lvlText w:val=""/>
      <w:lvlJc w:val="left"/>
    </w:lvl>
    <w:lvl w:ilvl="3" w:tplc="BD9CAA9E">
      <w:numFmt w:val="decimal"/>
      <w:lvlText w:val=""/>
      <w:lvlJc w:val="left"/>
    </w:lvl>
    <w:lvl w:ilvl="4" w:tplc="1B34D9D0">
      <w:numFmt w:val="decimal"/>
      <w:lvlText w:val=""/>
      <w:lvlJc w:val="left"/>
    </w:lvl>
    <w:lvl w:ilvl="5" w:tplc="AD4CBEE2">
      <w:numFmt w:val="decimal"/>
      <w:lvlText w:val=""/>
      <w:lvlJc w:val="left"/>
    </w:lvl>
    <w:lvl w:ilvl="6" w:tplc="866C5E0E">
      <w:numFmt w:val="decimal"/>
      <w:lvlText w:val=""/>
      <w:lvlJc w:val="left"/>
    </w:lvl>
    <w:lvl w:ilvl="7" w:tplc="DA70770E">
      <w:numFmt w:val="decimal"/>
      <w:lvlText w:val=""/>
      <w:lvlJc w:val="left"/>
    </w:lvl>
    <w:lvl w:ilvl="8" w:tplc="C4522366">
      <w:numFmt w:val="decimal"/>
      <w:lvlText w:val=""/>
      <w:lvlJc w:val="left"/>
    </w:lvl>
  </w:abstractNum>
  <w:abstractNum w:abstractNumId="1" w15:restartNumberingAfterBreak="0">
    <w:nsid w:val="2D490BAF"/>
    <w:multiLevelType w:val="hybridMultilevel"/>
    <w:tmpl w:val="BB3C8E14"/>
    <w:lvl w:ilvl="0" w:tplc="0D04B524">
      <w:start w:val="1"/>
      <w:numFmt w:val="bullet"/>
      <w:lvlText w:val="●"/>
      <w:lvlJc w:val="left"/>
      <w:pPr>
        <w:ind w:left="720" w:hanging="360"/>
      </w:pPr>
    </w:lvl>
    <w:lvl w:ilvl="1" w:tplc="D4B4BB60">
      <w:start w:val="1"/>
      <w:numFmt w:val="bullet"/>
      <w:lvlText w:val="○"/>
      <w:lvlJc w:val="left"/>
      <w:pPr>
        <w:ind w:left="1440" w:hanging="360"/>
      </w:pPr>
    </w:lvl>
    <w:lvl w:ilvl="2" w:tplc="CB32F8AE">
      <w:start w:val="1"/>
      <w:numFmt w:val="bullet"/>
      <w:lvlText w:val="■"/>
      <w:lvlJc w:val="left"/>
      <w:pPr>
        <w:ind w:left="2160" w:hanging="360"/>
      </w:pPr>
    </w:lvl>
    <w:lvl w:ilvl="3" w:tplc="B95EEF54">
      <w:start w:val="1"/>
      <w:numFmt w:val="bullet"/>
      <w:lvlText w:val="●"/>
      <w:lvlJc w:val="left"/>
      <w:pPr>
        <w:ind w:left="2880" w:hanging="360"/>
      </w:pPr>
    </w:lvl>
    <w:lvl w:ilvl="4" w:tplc="FB2EBF1C">
      <w:start w:val="1"/>
      <w:numFmt w:val="bullet"/>
      <w:lvlText w:val="○"/>
      <w:lvlJc w:val="left"/>
      <w:pPr>
        <w:ind w:left="3600" w:hanging="360"/>
      </w:pPr>
    </w:lvl>
    <w:lvl w:ilvl="5" w:tplc="261C5ACA">
      <w:start w:val="1"/>
      <w:numFmt w:val="bullet"/>
      <w:lvlText w:val="■"/>
      <w:lvlJc w:val="left"/>
      <w:pPr>
        <w:ind w:left="4320" w:hanging="360"/>
      </w:pPr>
    </w:lvl>
    <w:lvl w:ilvl="6" w:tplc="853AA852">
      <w:start w:val="1"/>
      <w:numFmt w:val="bullet"/>
      <w:lvlText w:val="●"/>
      <w:lvlJc w:val="left"/>
      <w:pPr>
        <w:ind w:left="5040" w:hanging="360"/>
      </w:pPr>
    </w:lvl>
    <w:lvl w:ilvl="7" w:tplc="BC8E4786">
      <w:start w:val="1"/>
      <w:numFmt w:val="bullet"/>
      <w:lvlText w:val="●"/>
      <w:lvlJc w:val="left"/>
      <w:pPr>
        <w:ind w:left="5760" w:hanging="360"/>
      </w:pPr>
    </w:lvl>
    <w:lvl w:ilvl="8" w:tplc="56CEAC94">
      <w:start w:val="1"/>
      <w:numFmt w:val="bullet"/>
      <w:lvlText w:val="●"/>
      <w:lvlJc w:val="left"/>
      <w:pPr>
        <w:ind w:left="6480" w:hanging="360"/>
      </w:pPr>
    </w:lvl>
  </w:abstractNum>
  <w:num w:numId="1" w16cid:durableId="2099708675">
    <w:abstractNumId w:val="1"/>
    <w:lvlOverride w:ilvl="0">
      <w:startOverride w:val="1"/>
    </w:lvlOverride>
  </w:num>
  <w:num w:numId="2" w16cid:durableId="20834774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E84"/>
    <w:rsid w:val="009312CB"/>
    <w:rsid w:val="009B6E84"/>
    <w:rsid w:val="00A0602B"/>
    <w:rsid w:val="00B64A33"/>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decimalSymbol w:val="."/>
  <w:listSeparator w:val=","/>
  <w14:docId w14:val="62C7FD37"/>
  <w15:docId w15:val="{88FBBFC0-3AA4-3948-99E0-47F5F110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1437</Words>
  <Characters>8193</Characters>
  <Application>Microsoft Office Word</Application>
  <DocSecurity>0</DocSecurity>
  <Lines>68</Lines>
  <Paragraphs>19</Paragraphs>
  <ScaleCrop>false</ScaleCrop>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Surur Khan</cp:lastModifiedBy>
  <cp:revision>2</cp:revision>
  <dcterms:created xsi:type="dcterms:W3CDTF">2026-09-04T23:47:00Z</dcterms:created>
  <dcterms:modified xsi:type="dcterms:W3CDTF">2026-09-05T00:08:00Z</dcterms:modified>
</cp:coreProperties>
</file>