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Olist E-Commerce Analysis</w:t>
      </w:r>
    </w:p>
    <w:p>
      <w:pPr>
        <w:pStyle w:val="Heading1"/>
        <w:spacing w:after="240"/>
      </w:pPr>
      <w:r>
        <w:t xml:space="preserve">Reference Document: Phase 3 (Exploratory Data Analysis)</w:t>
      </w:r>
    </w:p>
    <w:p>
      <w:pPr>
        <w:spacing w:after="160"/>
      </w:pPr>
      <w:r>
        <w:t xml:space="preserve">This document summarizes the Python EDA work completed in Phase 3: connecting to the SQL feature layer built in Phase 2, and examining distribution, missingness, and correlation structure ahead of the causal modeling in Phase 4.</w:t>
      </w:r>
    </w:p>
    <w:p>
      <w:pPr>
        <w:pStyle w:val="Heading3"/>
        <w:spacing w:after="120" w:before="240"/>
      </w:pPr>
      <w:r>
        <w:t xml:space="preserve">Color Legend</w:t>
      </w:r>
    </w:p>
    <w:tbl>
      <w:tblPr>
        <w:tblW w:type="dxa" w:w="9350"/>
        <w:tblBorders>
          <w:top w:val="single" w:color="2E7D32" w:sz="4"/>
          <w:left w:val="single" w:color="2E7D32" w:sz="24"/>
          <w:bottom w:val="single" w:color="2E7D32" w:sz="4"/>
          <w:right w:val="single" w:color="2E7D32" w:sz="4"/>
          <w:insideH w:val="single" w:color="auto" w:sz="4"/>
          <w:insideV w:val="single" w:color="auto" w:sz="4"/>
        </w:tblBorders>
      </w:tblPr>
      <w:tblGrid>
        <w:gridCol w:w="9350"/>
      </w:tblGrid>
      <w:tr>
        <w:tc>
          <w:tcPr>
            <w:tcW w:type="dxa" w:w="9350"/>
            <w:shd w:fill="E8F5E9" w:val="clear"/>
            <w:tcMar>
              <w:top w:type="dxa" w:w="120"/>
              <w:left w:type="dxa" w:w="180"/>
              <w:bottom w:type="dxa" w:w="120"/>
              <w:right w:type="dxa" w:w="180"/>
            </w:tcMar>
          </w:tcPr>
          <w:p>
            <w:pPr>
              <w:spacing w:after="60"/>
            </w:pPr>
            <w:r>
              <w:rPr>
                <w:b/>
                <w:bCs/>
                <w:color w:val="2E7D32"/>
                <w:sz w:val="20"/>
                <w:szCs w:val="20"/>
              </w:rPr>
              <w:t xml:space="preserve">CLEAN / VALIDATED</w:t>
            </w:r>
          </w:p>
          <w:p>
            <w:r>
              <w:rPr>
                <w:color w:val="222222"/>
                <w:sz w:val="21"/>
                <w:szCs w:val="21"/>
              </w:rPr>
              <w:t xml:space="preserve">The check passed, or the result confirms data integrity — no issue found.</w:t>
            </w:r>
          </w:p>
        </w:tc>
      </w:tr>
    </w:tbl>
    <w:p>
      <w:pPr>
        <w:spacing w:after="12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Pr>
      <w:tblGrid>
        <w:gridCol w:w="9350"/>
      </w:tblGrid>
      <w:tr>
        <w:tc>
          <w:tcPr>
            <w:tcW w:type="dxa" w:w="9350"/>
            <w:shd w:fill="FFF8E1" w:val="clear"/>
            <w:tcMar>
              <w:top w:type="dxa" w:w="120"/>
              <w:left w:type="dxa" w:w="180"/>
              <w:bottom w:type="dxa" w:w="120"/>
              <w:right w:type="dxa" w:w="180"/>
            </w:tcMar>
          </w:tcPr>
          <w:p>
            <w:pPr>
              <w:spacing w:after="60"/>
            </w:pPr>
            <w:r>
              <w:rPr>
                <w:b/>
                <w:bCs/>
                <w:color w:val="8A6D00"/>
                <w:sz w:val="20"/>
                <w:szCs w:val="20"/>
              </w:rPr>
              <w:t xml:space="preserve">DATA QUALITY NOTE</w:t>
            </w:r>
          </w:p>
          <w:p>
            <w:r>
              <w:rPr>
                <w:color w:val="222222"/>
                <w:sz w:val="21"/>
                <w:szCs w:val="21"/>
              </w:rPr>
              <w:t xml:space="preserve">A real quirk or limitation in the data that we identified, understood, and handled deliberately.</w:t>
            </w:r>
          </w:p>
        </w:tc>
      </w:tr>
    </w:tbl>
    <w:p>
      <w:pPr>
        <w:spacing w:after="120"/>
      </w:pPr>
    </w:p>
    <w:tbl>
      <w:tblPr>
        <w:tblW w:type="dxa" w:w="9350"/>
        <w:tblBorders>
          <w:top w:val="single" w:color="B71C1C" w:sz="4"/>
          <w:left w:val="single" w:color="B71C1C" w:sz="24"/>
          <w:bottom w:val="single" w:color="B71C1C" w:sz="4"/>
          <w:right w:val="single" w:color="B71C1C" w:sz="4"/>
          <w:insideH w:val="single" w:color="auto" w:sz="4"/>
          <w:insideV w:val="single" w:color="auto" w:sz="4"/>
        </w:tblBorders>
      </w:tblPr>
      <w:tblGrid>
        <w:gridCol w:w="9350"/>
      </w:tblGrid>
      <w:tr>
        <w:tc>
          <w:tcPr>
            <w:tcW w:type="dxa" w:w="9350"/>
            <w:shd w:fill="FDECEA" w:val="clear"/>
            <w:tcMar>
              <w:top w:type="dxa" w:w="120"/>
              <w:left w:type="dxa" w:w="180"/>
              <w:bottom w:type="dxa" w:w="120"/>
              <w:right w:type="dxa" w:w="180"/>
            </w:tcMar>
          </w:tcPr>
          <w:p>
            <w:pPr>
              <w:spacing w:after="60"/>
            </w:pPr>
            <w:r>
              <w:rPr>
                <w:b/>
                <w:bCs/>
                <w:color w:val="B71C1C"/>
                <w:sz w:val="20"/>
                <w:szCs w:val="20"/>
              </w:rPr>
              <w:t xml:space="preserve">BUSINESS FINDING</w:t>
            </w:r>
          </w:p>
          <w:p>
            <w:r>
              <w:rPr>
                <w:color w:val="222222"/>
                <w:sz w:val="21"/>
                <w:szCs w:val="21"/>
              </w:rPr>
              <w:t xml:space="preserve">An analytical result with real business implications — worth highlighting in a resume, interview, or executive summary.</w:t>
            </w:r>
          </w:p>
        </w:tc>
      </w:tr>
    </w:tbl>
    <w:p>
      <w:pPr>
        <w:spacing w:after="120"/>
      </w:pPr>
    </w:p>
    <w:tbl>
      <w:tblPr>
        <w:tblW w:type="dxa" w:w="9350"/>
        <w:tblBorders>
          <w:top w:val="single" w:color="1565C0" w:sz="4"/>
          <w:left w:val="single" w:color="1565C0" w:sz="24"/>
          <w:bottom w:val="single" w:color="1565C0" w:sz="4"/>
          <w:right w:val="single" w:color="1565C0" w:sz="4"/>
          <w:insideH w:val="single" w:color="auto" w:sz="4"/>
          <w:insideV w:val="single" w:color="auto" w:sz="4"/>
        </w:tblBorders>
      </w:tblPr>
      <w:tblGrid>
        <w:gridCol w:w="9350"/>
      </w:tblGrid>
      <w:tr>
        <w:tc>
          <w:tcPr>
            <w:tcW w:type="dxa" w:w="9350"/>
            <w:shd w:fill="E3F2FD" w:val="clear"/>
            <w:tcMar>
              <w:top w:type="dxa" w:w="120"/>
              <w:left w:type="dxa" w:w="180"/>
              <w:bottom w:type="dxa" w:w="120"/>
              <w:right w:type="dxa" w:w="180"/>
            </w:tcMar>
          </w:tcPr>
          <w:p>
            <w:pPr>
              <w:spacing w:after="60"/>
            </w:pPr>
            <w:r>
              <w:rPr>
                <w:b/>
                <w:bCs/>
                <w:color w:val="1565C0"/>
                <w:sz w:val="20"/>
                <w:szCs w:val="20"/>
              </w:rPr>
              <w:t xml:space="preserve">TECHNICAL CONCEPT</w:t>
            </w:r>
          </w:p>
          <w:p>
            <w:r>
              <w:rPr>
                <w:color w:val="222222"/>
                <w:sz w:val="21"/>
                <w:szCs w:val="21"/>
              </w:rPr>
              <w:t xml:space="preserve">A statistical or technical concept worth understanding and being able to explain, not just a result.</w:t>
            </w:r>
          </w:p>
        </w:tc>
      </w:tr>
    </w:tbl>
    <w:p>
      <w:pPr>
        <w:spacing w:after="240"/>
      </w:pPr>
    </w:p>
    <w:p>
      <w:pPr>
        <w:pStyle w:val="Heading2"/>
        <w:spacing w:after="160" w:before="360"/>
      </w:pPr>
      <w:r>
        <w:t xml:space="preserve">Phase 3 — Exploratory Data Analysis (Python)</w:t>
      </w:r>
    </w:p>
    <w:p>
      <w:pPr>
        <w:spacing w:after="160"/>
      </w:pPr>
      <w:r>
        <w:t xml:space="preserve">Goal: move from SQL into Python to examine distributions, missingness, and correlation structure — questions SQL isn't well-suited to answer — before building the causal model in Phase 4.</w:t>
      </w:r>
    </w:p>
    <w:p>
      <w:pPr>
        <w:pStyle w:val="Heading3"/>
        <w:spacing w:after="120" w:before="240"/>
      </w:pPr>
      <w:r>
        <w:t xml:space="preserve">Setup</w:t>
      </w:r>
    </w:p>
    <w:p>
      <w:pPr>
        <w:spacing w:after="160"/>
      </w:pPr>
      <w:r>
        <w:rPr>
          <w:b/>
          <w:bCs/>
        </w:rPr>
        <w:t xml:space="preserve">Technical: </w:t>
      </w:r>
      <w:r>
        <w:t xml:space="preserve">Connected Python to PostgreSQL using SQLAlchemy + psycopg2, with credentials stored in a .env file (never hardcoded, never committed to version control) and loaded via python-dotenv. Pulled the order_features SQL view directly into a pandas DataFrame — no logic was recomputed in Python that SQL had already handled.</w:t>
      </w:r>
    </w:p>
    <w:p>
      <w:pPr>
        <w:spacing w:after="160"/>
      </w:pPr>
      <w:r>
        <w:rPr>
          <w:b/>
          <w:bCs/>
        </w:rPr>
        <w:t xml:space="preserve">In plain terms: </w:t>
      </w:r>
      <w:r>
        <w:t xml:space="preserve">Python picks up exactly where the SQL work left off. The database does the heavy structural lifting (joins, feature engineering); Python is used only for what it's actually better at — statistical distribution analysis and modeling.</w:t>
      </w:r>
    </w:p>
    <w:p>
      <w:pPr>
        <w:pStyle w:val="Heading3"/>
        <w:spacing w:after="120" w:before="240"/>
      </w:pPr>
      <w:r>
        <w:t xml:space="preserve">1. Review Score Distribution</w:t>
      </w:r>
    </w:p>
    <w:p>
      <w:pPr>
        <w:spacing w:after="160"/>
      </w:pPr>
      <w:r>
        <w:rPr>
          <w:b/>
          <w:bCs/>
        </w:rPr>
        <w:t xml:space="preserve">Technical: </w:t>
      </w:r>
      <w:r>
        <w:t xml:space="preserve">Plotted the distribution of review_score (1–5) across all 99,441 orders.</w:t>
      </w:r>
    </w:p>
    <w:tbl>
      <w:tblPr>
        <w:tblW w:type="dxa" w:w="9350"/>
        <w:tblBorders>
          <w:top w:val="single" w:color="B71C1C" w:sz="4"/>
          <w:left w:val="single" w:color="B71C1C" w:sz="24"/>
          <w:bottom w:val="single" w:color="B71C1C" w:sz="4"/>
          <w:right w:val="single" w:color="B71C1C" w:sz="4"/>
          <w:insideH w:val="single" w:color="auto" w:sz="4"/>
          <w:insideV w:val="single" w:color="auto" w:sz="4"/>
        </w:tblBorders>
      </w:tblPr>
      <w:tblGrid>
        <w:gridCol w:w="9350"/>
      </w:tblGrid>
      <w:tr>
        <w:tc>
          <w:tcPr>
            <w:tcW w:type="dxa" w:w="9350"/>
            <w:shd w:fill="FDECEA" w:val="clear"/>
            <w:tcMar>
              <w:top w:type="dxa" w:w="120"/>
              <w:left w:type="dxa" w:w="180"/>
              <w:bottom w:type="dxa" w:w="120"/>
              <w:right w:type="dxa" w:w="180"/>
            </w:tcMar>
          </w:tcPr>
          <w:p>
            <w:pPr>
              <w:spacing w:after="60"/>
            </w:pPr>
            <w:r>
              <w:rPr>
                <w:b/>
                <w:bCs/>
                <w:color w:val="B71C1C"/>
                <w:sz w:val="20"/>
                <w:szCs w:val="20"/>
              </w:rPr>
              <w:t xml:space="preserve">BUSINESS FINDING</w:t>
            </w:r>
          </w:p>
          <w:p>
            <w:r>
              <w:rPr>
                <w:color w:val="222222"/>
                <w:sz w:val="21"/>
                <w:szCs w:val="21"/>
              </w:rPr>
              <w:t xml:space="preserve">The distribution is heavily left-skewed: 57% of all reviews are a perfect 5-star score, with a secondary spike at 1-star (11.4%) and comparatively few scores in the 2–4 range. This skew is an important modeling decision for Phase 4 — treating review score as a simple continuous variable in an ordinary linear regression would misrepresent its true distribution; ordinal logistic regression is the more defensible choice.</w:t>
            </w:r>
          </w:p>
        </w:tc>
      </w:tr>
    </w:tbl>
    <w:p>
      <w:pPr>
        <w:pStyle w:val="Heading3"/>
        <w:spacing w:after="120" w:before="240"/>
      </w:pPr>
      <w:r>
        <w:t xml:space="preserve">2. Missingness Diagnostics</w:t>
      </w:r>
    </w:p>
    <w:p>
      <w:pPr>
        <w:spacing w:after="160"/>
      </w:pPr>
      <w:r>
        <w:rPr>
          <w:b/>
          <w:bCs/>
        </w:rPr>
        <w:t xml:space="preserve">Technical: </w:t>
      </w:r>
      <w:r>
        <w:t xml:space="preserve">Compared average delivery_days for orders with a review_score present vs. missing.</w:t>
      </w:r>
    </w:p>
    <w:tbl>
      <w:tblPr>
        <w:tblW w:type="dxa" w:w="9350"/>
        <w:tblBorders>
          <w:top w:val="single" w:color="B71C1C" w:sz="4"/>
          <w:left w:val="single" w:color="B71C1C" w:sz="24"/>
          <w:bottom w:val="single" w:color="B71C1C" w:sz="4"/>
          <w:right w:val="single" w:color="B71C1C" w:sz="4"/>
          <w:insideH w:val="single" w:color="auto" w:sz="4"/>
          <w:insideV w:val="single" w:color="auto" w:sz="4"/>
        </w:tblBorders>
      </w:tblPr>
      <w:tblGrid>
        <w:gridCol w:w="9350"/>
      </w:tblGrid>
      <w:tr>
        <w:tc>
          <w:tcPr>
            <w:tcW w:type="dxa" w:w="9350"/>
            <w:shd w:fill="FDECEA" w:val="clear"/>
            <w:tcMar>
              <w:top w:type="dxa" w:w="120"/>
              <w:left w:type="dxa" w:w="180"/>
              <w:bottom w:type="dxa" w:w="120"/>
              <w:right w:type="dxa" w:w="180"/>
            </w:tcMar>
          </w:tcPr>
          <w:p>
            <w:pPr>
              <w:spacing w:after="60"/>
            </w:pPr>
            <w:r>
              <w:rPr>
                <w:b/>
                <w:bCs/>
                <w:color w:val="B71C1C"/>
                <w:sz w:val="20"/>
                <w:szCs w:val="20"/>
              </w:rPr>
              <w:t xml:space="preserve">BUSINESS FINDING</w:t>
            </w:r>
          </w:p>
          <w:p>
            <w:r>
              <w:rPr>
                <w:color w:val="222222"/>
                <w:sz w:val="21"/>
                <w:szCs w:val="21"/>
              </w:rPr>
              <w:t xml:space="preserve">Orders missing a review score average 18.2 days for delivery, vs. 12.1 days for orders that were reviewed — a ~51% difference. Missingness is not random.</w:t>
            </w:r>
          </w:p>
        </w:tc>
      </w:tr>
    </w:tbl>
    <w:p>
      <w:pPr>
        <w:spacing w:after="120"/>
      </w:pPr>
    </w:p>
    <w:tbl>
      <w:tblPr>
        <w:tblW w:type="dxa" w:w="9350"/>
        <w:tblBorders>
          <w:top w:val="single" w:color="1565C0" w:sz="4"/>
          <w:left w:val="single" w:color="1565C0" w:sz="24"/>
          <w:bottom w:val="single" w:color="1565C0" w:sz="4"/>
          <w:right w:val="single" w:color="1565C0" w:sz="4"/>
          <w:insideH w:val="single" w:color="auto" w:sz="4"/>
          <w:insideV w:val="single" w:color="auto" w:sz="4"/>
        </w:tblBorders>
      </w:tblPr>
      <w:tblGrid>
        <w:gridCol w:w="9350"/>
      </w:tblGrid>
      <w:tr>
        <w:tc>
          <w:tcPr>
            <w:tcW w:type="dxa" w:w="9350"/>
            <w:shd w:fill="E3F2FD" w:val="clear"/>
            <w:tcMar>
              <w:top w:type="dxa" w:w="120"/>
              <w:left w:type="dxa" w:w="180"/>
              <w:bottom w:type="dxa" w:w="120"/>
              <w:right w:type="dxa" w:w="180"/>
            </w:tcMar>
          </w:tcPr>
          <w:p>
            <w:pPr>
              <w:spacing w:after="60"/>
            </w:pPr>
            <w:r>
              <w:rPr>
                <w:b/>
                <w:bCs/>
                <w:color w:val="1565C0"/>
                <w:sz w:val="20"/>
                <w:szCs w:val="20"/>
              </w:rPr>
              <w:t xml:space="preserve">TECHNICAL CONCEPT</w:t>
            </w:r>
          </w:p>
          <w:p>
            <w:r>
              <w:rPr>
                <w:color w:val="222222"/>
                <w:sz w:val="21"/>
                <w:szCs w:val="21"/>
              </w:rPr>
              <w:t xml:space="preserve">This is a case of MNAR (Missing Not At Random) — the reason review_score is missing (order likely still in transit, delayed, or never delivered) is itself tied to the variable we care most about (delivery speed). This means every prior analysis filtered to non-null review scores is implicitly under-representing slow/problem orders. Cited explicitly as a limitation in the final write-up, not something we can fully correct for.</w:t>
            </w:r>
          </w:p>
        </w:tc>
      </w:tr>
    </w:tbl>
    <w:p>
      <w:pPr>
        <w:pStyle w:val="Heading3"/>
        <w:spacing w:after="120" w:before="240"/>
      </w:pPr>
      <w:r>
        <w:t xml:space="preserve">3. Correlation Matrix of Confounders</w:t>
      </w:r>
    </w:p>
    <w:p>
      <w:pPr>
        <w:spacing w:after="160"/>
      </w:pPr>
      <w:r>
        <w:rPr>
          <w:b/>
          <w:bCs/>
        </w:rPr>
        <w:t xml:space="preserve">Technical: </w:t>
      </w:r>
      <w:r>
        <w:t xml:space="preserve">Built a correlation matrix across order_value, freight_value, item_count, delivery_days, handling_days, transit_days, is_late, and review_score.</w:t>
      </w:r>
    </w:p>
    <w:tbl>
      <w:tblPr>
        <w:tblW w:type="dxa" w:w="9350"/>
        <w:tblBorders>
          <w:top w:val="single" w:color="1565C0" w:sz="4"/>
          <w:left w:val="single" w:color="1565C0" w:sz="24"/>
          <w:bottom w:val="single" w:color="1565C0" w:sz="4"/>
          <w:right w:val="single" w:color="1565C0" w:sz="4"/>
          <w:insideH w:val="single" w:color="auto" w:sz="4"/>
          <w:insideV w:val="single" w:color="auto" w:sz="4"/>
        </w:tblBorders>
      </w:tblPr>
      <w:tblGrid>
        <w:gridCol w:w="9350"/>
      </w:tblGrid>
      <w:tr>
        <w:tc>
          <w:tcPr>
            <w:tcW w:type="dxa" w:w="9350"/>
            <w:shd w:fill="E3F2FD" w:val="clear"/>
            <w:tcMar>
              <w:top w:type="dxa" w:w="120"/>
              <w:left w:type="dxa" w:w="180"/>
              <w:bottom w:type="dxa" w:w="120"/>
              <w:right w:type="dxa" w:w="180"/>
            </w:tcMar>
          </w:tcPr>
          <w:p>
            <w:pPr>
              <w:spacing w:after="60"/>
            </w:pPr>
            <w:r>
              <w:rPr>
                <w:b/>
                <w:bCs/>
                <w:color w:val="1565C0"/>
                <w:sz w:val="20"/>
                <w:szCs w:val="20"/>
              </w:rPr>
              <w:t xml:space="preserve">TECHNICAL CONCEPT</w:t>
            </w:r>
          </w:p>
          <w:p>
            <w:r>
              <w:rPr>
                <w:color w:val="222222"/>
                <w:sz w:val="21"/>
                <w:szCs w:val="21"/>
              </w:rPr>
              <w:t xml:space="preserve">delivery_days and is_late correlate at 0.59 — moderate, not severe. This is more forgiving than the Phase 2 naive baseline suggested (where late-rate jumped sharply in the slowest bucket). Correlation alone doesn't confirm multicollinearity in a full regression context — a formal VIF (Variance Inflation Factor) check in Phase 4 is still required before deciding whether to keep both variables.</w:t>
            </w:r>
          </w:p>
        </w:tc>
      </w:tr>
    </w:tbl>
    <w:p>
      <w:pPr>
        <w:spacing w:after="120"/>
      </w:pPr>
    </w:p>
    <w:tbl>
      <w:tblPr>
        <w:tblW w:type="dxa" w:w="9350"/>
        <w:tblBorders>
          <w:top w:val="single" w:color="B71C1C" w:sz="4"/>
          <w:left w:val="single" w:color="B71C1C" w:sz="24"/>
          <w:bottom w:val="single" w:color="B71C1C" w:sz="4"/>
          <w:right w:val="single" w:color="B71C1C" w:sz="4"/>
          <w:insideH w:val="single" w:color="auto" w:sz="4"/>
          <w:insideV w:val="single" w:color="auto" w:sz="4"/>
        </w:tblBorders>
      </w:tblPr>
      <w:tblGrid>
        <w:gridCol w:w="9350"/>
      </w:tblGrid>
      <w:tr>
        <w:tc>
          <w:tcPr>
            <w:tcW w:type="dxa" w:w="9350"/>
            <w:shd w:fill="FDECEA" w:val="clear"/>
            <w:tcMar>
              <w:top w:type="dxa" w:w="120"/>
              <w:left w:type="dxa" w:w="180"/>
              <w:bottom w:type="dxa" w:w="120"/>
              <w:right w:type="dxa" w:w="180"/>
            </w:tcMar>
          </w:tcPr>
          <w:p>
            <w:pPr>
              <w:spacing w:after="60"/>
            </w:pPr>
            <w:r>
              <w:rPr>
                <w:b/>
                <w:bCs/>
                <w:color w:val="B71C1C"/>
                <w:sz w:val="20"/>
                <w:szCs w:val="20"/>
              </w:rPr>
              <w:t xml:space="preserve">BUSINESS FINDING</w:t>
            </w:r>
          </w:p>
          <w:p>
            <w:r>
              <w:rPr>
                <w:color w:val="222222"/>
                <w:sz w:val="21"/>
                <w:szCs w:val="21"/>
              </w:rPr>
              <w:t xml:space="preserve">is_late correlates with review score more strongly (−0.36) than raw delivery_days does (−0.33). This suggests that whether an order arrived later than PROMISED matters slightly more to customer satisfaction than how many absolute days delivery took — an expectation-management finding, not simply a "faster is always better" one. This is a sharper, more actionable insight than the naive speed-based framing used in Phase 2.</w:t>
            </w:r>
          </w:p>
        </w:tc>
      </w:tr>
    </w:tbl>
    <w:p>
      <w:pPr>
        <w:spacing w:after="120"/>
      </w:pPr>
    </w:p>
    <w:tbl>
      <w:tblPr>
        <w:tblW w:type="dxa" w:w="9350"/>
        <w:tblBorders>
          <w:top w:val="single" w:color="2E7D32" w:sz="4"/>
          <w:left w:val="single" w:color="2E7D32" w:sz="24"/>
          <w:bottom w:val="single" w:color="2E7D32" w:sz="4"/>
          <w:right w:val="single" w:color="2E7D32" w:sz="4"/>
          <w:insideH w:val="single" w:color="auto" w:sz="4"/>
          <w:insideV w:val="single" w:color="auto" w:sz="4"/>
        </w:tblBorders>
      </w:tblPr>
      <w:tblGrid>
        <w:gridCol w:w="9350"/>
      </w:tblGrid>
      <w:tr>
        <w:tc>
          <w:tcPr>
            <w:tcW w:type="dxa" w:w="9350"/>
            <w:shd w:fill="E8F5E9" w:val="clear"/>
            <w:tcMar>
              <w:top w:type="dxa" w:w="120"/>
              <w:left w:type="dxa" w:w="180"/>
              <w:bottom w:type="dxa" w:w="120"/>
              <w:right w:type="dxa" w:w="180"/>
            </w:tcMar>
          </w:tcPr>
          <w:p>
            <w:pPr>
              <w:spacing w:after="60"/>
            </w:pPr>
            <w:r>
              <w:rPr>
                <w:b/>
                <w:bCs/>
                <w:color w:val="2E7D32"/>
                <w:sz w:val="20"/>
                <w:szCs w:val="20"/>
              </w:rPr>
              <w:t xml:space="preserve">CLEAN / VALIDATED</w:t>
            </w:r>
          </w:p>
          <w:p>
            <w:r>
              <w:rPr>
                <w:color w:val="222222"/>
                <w:sz w:val="21"/>
                <w:szCs w:val="21"/>
              </w:rPr>
              <w:t xml:space="preserve">order_value showed almost no correlation with review score (−0.04), ruling out the concern that more expensive orders are simply harder to satisfy.</w:t>
            </w:r>
          </w:p>
        </w:tc>
      </w:tr>
    </w:tbl>
    <w:p>
      <w:pPr>
        <w:spacing w:after="12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Pr>
      <w:tblGrid>
        <w:gridCol w:w="9350"/>
      </w:tblGrid>
      <w:tr>
        <w:tc>
          <w:tcPr>
            <w:tcW w:type="dxa" w:w="9350"/>
            <w:shd w:fill="FFF8E1" w:val="clear"/>
            <w:tcMar>
              <w:top w:type="dxa" w:w="120"/>
              <w:left w:type="dxa" w:w="180"/>
              <w:bottom w:type="dxa" w:w="120"/>
              <w:right w:type="dxa" w:w="180"/>
            </w:tcMar>
          </w:tcPr>
          <w:p>
            <w:pPr>
              <w:spacing w:after="60"/>
            </w:pPr>
            <w:r>
              <w:rPr>
                <w:b/>
                <w:bCs/>
                <w:color w:val="8A6D00"/>
                <w:sz w:val="20"/>
                <w:szCs w:val="20"/>
              </w:rPr>
              <w:t xml:space="preserve">DATA QUALITY NOTE</w:t>
            </w:r>
          </w:p>
          <w:p>
            <w:r>
              <w:rPr>
                <w:color w:val="222222"/>
                <w:sz w:val="21"/>
                <w:szCs w:val="21"/>
              </w:rPr>
              <w:t xml:space="preserve">The project plan originally called for a customer_distance_proxy confounder (seller-to-customer distance), but this was not built into the Phase 2 SQL feature view. It will need to be added before Phase 4's regression, since distance is an important candidate confounder for the delivery-speed question.</w:t>
            </w:r>
          </w:p>
        </w:tc>
      </w:tr>
    </w:tbl>
    <w:p>
      <w:pPr>
        <w:spacing w:after="200"/>
      </w:pPr>
    </w:p>
    <w:p>
      <w:pPr>
        <w:pStyle w:val="Heading2"/>
        <w:spacing w:after="160" w:before="360"/>
      </w:pPr>
      <w:r>
        <w:t xml:space="preserve">Summary: What This Demonstrates</w:t>
      </w:r>
    </w:p>
    <w:p>
      <w:pPr>
        <w:pStyle w:val="ListParagraph"/>
        <w:numPr>
          <w:ilvl w:val="0"/>
          <w:numId w:val="2"/>
        </w:numPr>
        <w:spacing w:after="80"/>
      </w:pPr>
      <w:r>
        <w:t xml:space="preserve">Secure, reusable database connectivity from Python (SQLAlchemy, environment-based credentials)</w:t>
      </w:r>
    </w:p>
    <w:p>
      <w:pPr>
        <w:pStyle w:val="ListParagraph"/>
        <w:numPr>
          <w:ilvl w:val="0"/>
          <w:numId w:val="2"/>
        </w:numPr>
        <w:spacing w:after="80"/>
      </w:pPr>
      <w:r>
        <w:t xml:space="preserve">Correct diagnosis of skewed distributions and their modeling implications</w:t>
      </w:r>
    </w:p>
    <w:p>
      <w:pPr>
        <w:pStyle w:val="ListParagraph"/>
        <w:numPr>
          <w:ilvl w:val="0"/>
          <w:numId w:val="2"/>
        </w:numPr>
        <w:spacing w:after="80"/>
      </w:pPr>
      <w:r>
        <w:t xml:space="preserve">Identification of MNAR missingness — a more sophisticated diagnosis than simply checking null counts</w:t>
      </w:r>
    </w:p>
    <w:p>
      <w:pPr>
        <w:pStyle w:val="ListParagraph"/>
        <w:numPr>
          <w:ilvl w:val="0"/>
          <w:numId w:val="2"/>
        </w:numPr>
        <w:spacing w:after="80"/>
      </w:pPr>
      <w:r>
        <w:t xml:space="preserve">Distinguishing correlation from multicollinearity, and knowing which formal test (VIF) resolves the ambiguity</w:t>
      </w:r>
    </w:p>
    <w:p>
      <w:pPr>
        <w:pStyle w:val="ListParagraph"/>
        <w:numPr>
          <w:ilvl w:val="0"/>
          <w:numId w:val="2"/>
        </w:numPr>
        <w:spacing w:after="80"/>
      </w:pPr>
      <w:r>
        <w:t xml:space="preserve">Translating a subtle statistical pattern (late vs. slow) into a sharper business insight than the obvious one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2026-09-05T13:08:18.110Z</dcterms:created>
  <dcterms:modified xsi:type="dcterms:W3CDTF">2026-09-05T13:08:18.123Z</dcterms:modified>
</cp:coreProperties>
</file>

<file path=docProps/custom.xml><?xml version="1.0" encoding="utf-8"?>
<Properties xmlns="http://schemas.openxmlformats.org/officeDocument/2006/custom-properties" xmlns:vt="http://schemas.openxmlformats.org/officeDocument/2006/docPropsVTypes"/>
</file>