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0"/>
        <w:jc w:val="center"/>
      </w:pPr>
      <w:r>
        <w:rPr>
          <w:rFonts w:ascii="Arial" w:hAnsi="Arial"/>
          <w:b/>
          <w:i w:val="0"/>
          <w:color w:val="17365D"/>
          <w:sz w:val="44"/>
        </w:rPr>
        <w:t>MINSEOK CHO</w:t>
      </w:r>
    </w:p>
    <w:p>
      <w:pPr>
        <w:spacing w:before="0" w:after="80"/>
        <w:jc w:val="center"/>
      </w:pPr>
      <w:r>
        <w:rPr>
          <w:rFonts w:ascii="Arial" w:hAnsi="Arial"/>
          <w:b/>
          <w:i w:val="0"/>
          <w:color w:val="555555"/>
          <w:sz w:val="19"/>
        </w:rPr>
        <w:t>ACADEMIC CURRICULUM VITAE</w:t>
      </w:r>
    </w:p>
    <w:p>
      <w:pPr>
        <w:spacing w:before="0" w:after="140"/>
        <w:jc w:val="center"/>
        <w:pBdr>
          <w:bottom w:val="single" w:sz="12" w:space="5" w:color="17365D"/>
        </w:pBdr>
      </w:pPr>
      <w:r>
        <w:rPr>
          <w:rFonts w:ascii="Arial" w:hAnsi="Arial"/>
          <w:b w:val="0"/>
          <w:i w:val="0"/>
          <w:color w:val="000000"/>
          <w:sz w:val="18"/>
        </w:rPr>
        <w:t xml:space="preserve">Cheongju, South Korea  |  cho9911@gmail.com  |  </w:t>
      </w:r>
      <w:hyperlink r:id="rId11">
        <w:r>
          <w:rPr>
            <w:rFonts w:ascii="Arial" w:hAnsi="Arial"/>
            <w:color w:val="17365D"/>
            <w:sz w:val="18"/>
            <w:szCs w:val="18"/>
          </w:rPr>
          <w:t>rukkha1024.github.io</w:t>
        </w:r>
      </w:hyperlink>
      <w:r>
        <w:rPr>
          <w:rFonts w:ascii="Arial" w:hAnsi="Arial"/>
          <w:b w:val="0"/>
          <w:i w:val="0"/>
          <w:color w:val="000000"/>
          <w:sz w:val="18"/>
        </w:rPr>
        <w:t xml:space="preserve">  |  </w:t>
      </w:r>
      <w:hyperlink r:id="rId12">
        <w:r>
          <w:rPr>
            <w:rFonts w:ascii="Arial" w:hAnsi="Arial"/>
            <w:color w:val="17365D"/>
            <w:sz w:val="18"/>
            <w:szCs w:val="18"/>
          </w:rPr>
          <w:t>github.com/Rukkha1024</w:t>
        </w:r>
      </w:hyperlink>
    </w:p>
    <w:p>
      <w:pPr>
        <w:pStyle w:val="CVSection"/>
        <w:keepNext/>
        <w:pBdr>
          <w:bottom w:val="single" w:sz="8" w:space="2" w:color="A9B8C9"/>
        </w:pBdr>
      </w:pPr>
      <w:r>
        <w:rPr>
          <w:rFonts w:ascii="Arial" w:hAnsi="Arial"/>
          <w:b/>
          <w:i w:val="0"/>
          <w:color w:val="17365D"/>
          <w:sz w:val="20"/>
        </w:rPr>
        <w:t>RESEARCH INTERESTS</w:t>
      </w:r>
    </w:p>
    <w:p>
      <w:pPr>
        <w:pStyle w:val="CVDetail"/>
        <w:spacing w:after="30"/>
      </w:pPr>
      <w:r>
        <w:rPr>
          <w:rFonts w:ascii="Arial" w:hAnsi="Arial"/>
          <w:b w:val="0"/>
          <w:i w:val="0"/>
          <w:color w:val="000000"/>
          <w:sz w:val="19"/>
        </w:rPr>
        <w:t>Neuromuscular control and muscle coordination; motor-unit behavior and high-density electromyography (HD-EMG); NMF-based muscle synergy; postural control and responses to unexpected perturbations; synthetic EMG and neuromusculoskeletal digital twins.</w:t>
      </w:r>
    </w:p>
    <w:p>
      <w:pPr>
        <w:pStyle w:val="CVSection"/>
        <w:keepNext/>
        <w:pBdr>
          <w:bottom w:val="single" w:sz="8" w:space="2" w:color="A9B8C9"/>
        </w:pBdr>
      </w:pPr>
      <w:r>
        <w:rPr>
          <w:rFonts w:ascii="Arial" w:hAnsi="Arial"/>
          <w:b/>
          <w:i w:val="0"/>
          <w:color w:val="17365D"/>
          <w:sz w:val="20"/>
        </w:rPr>
        <w:t>EDUCATION</w:t>
      </w:r>
    </w:p>
    <w:tbl>
      <w:tblPr>
        <w:tblW w:type="dxa" w:w="9994"/>
        <w:jc w:val="left"/>
        <w:tblLayout w:type="fixed"/>
        <w:tblLook w:firstColumn="1" w:firstRow="1" w:lastColumn="0" w:lastRow="0" w:noHBand="0" w:noVBand="1" w:val="04A0"/>
        <w:tblInd w:w="0" w:type="dxa"/>
        <w:tblBorders>
          <w:top w:val="nil"/>
          <w:left w:val="nil"/>
          <w:bottom w:val="nil"/>
          <w:right w:val="nil"/>
          <w:insideH w:val="nil"/>
          <w:insideV w:val="nil"/>
        </w:tblBorders>
        <w:tblCellMar>
          <w:top w:w="0" w:type="dxa"/>
          <w:left w:w="80" w:type="dxa"/>
          <w:bottom w:w="0" w:type="dxa"/>
          <w:right w:w="80" w:type="dxa"/>
        </w:tblCellMar>
      </w:tblPr>
      <w:tblGrid>
        <w:gridCol w:w="8064"/>
        <w:gridCol w:w="1930"/>
      </w:tblGrid>
      <w:tr>
        <w:trPr>
          <w:cantSplit/>
        </w:trPr>
        <w:tc>
          <w:tcPr>
            <w:tcW w:type="dxa" w:w="8064"/>
            <w:vAlign w:val="center"/>
          </w:tcPr>
          <w:p>
            <w:pPr>
              <w:pStyle w:val="CVEntryHeader"/>
              <w:keepNext/>
            </w:pPr>
            <w:r>
              <w:rPr>
                <w:rFonts w:ascii="Arial" w:hAnsi="Arial"/>
                <w:b/>
                <w:i w:val="0"/>
                <w:color w:val="000000"/>
                <w:sz w:val="19"/>
              </w:rPr>
              <w:t>Cheongju University, Department of Sports Rehabilitation</w:t>
            </w:r>
          </w:p>
        </w:tc>
        <w:tc>
          <w:tcPr>
            <w:tcW w:type="dxa" w:w="1930"/>
            <w:vAlign w:val="center"/>
          </w:tcPr>
          <w:p>
            <w:pPr>
              <w:pStyle w:val="CVEntryHeader"/>
              <w:jc w:val="right"/>
            </w:pPr>
            <w:r>
              <w:rPr>
                <w:rFonts w:ascii="Arial" w:hAnsi="Arial"/>
                <w:b/>
                <w:i w:val="0"/>
                <w:color w:val="555555"/>
                <w:sz w:val="18"/>
              </w:rPr>
              <w:t>2025-2027 (expected)</w:t>
            </w:r>
          </w:p>
        </w:tc>
      </w:tr>
    </w:tbl>
    <w:p>
      <w:pPr>
        <w:pStyle w:val="CVDetail"/>
        <w:spacing w:after="44"/>
      </w:pPr>
      <w:r>
        <w:rPr>
          <w:rFonts w:ascii="Arial" w:hAnsi="Arial"/>
          <w:b w:val="0"/>
          <w:i w:val="0"/>
          <w:color w:val="000000"/>
          <w:sz w:val="19"/>
        </w:rPr>
        <w:t>M.S. in Sports Medicine | Advisor: Prof. Yushin Kim</w:t>
      </w:r>
    </w:p>
    <w:tbl>
      <w:tblPr>
        <w:tblW w:type="dxa" w:w="9994"/>
        <w:jc w:val="left"/>
        <w:tblLayout w:type="fixed"/>
        <w:tblLook w:firstColumn="1" w:firstRow="1" w:lastColumn="0" w:lastRow="0" w:noHBand="0" w:noVBand="1" w:val="04A0"/>
        <w:tblInd w:w="0" w:type="dxa"/>
        <w:tblBorders>
          <w:top w:val="nil"/>
          <w:left w:val="nil"/>
          <w:bottom w:val="nil"/>
          <w:right w:val="nil"/>
          <w:insideH w:val="nil"/>
          <w:insideV w:val="nil"/>
        </w:tblBorders>
        <w:tblCellMar>
          <w:top w:w="0" w:type="dxa"/>
          <w:left w:w="80" w:type="dxa"/>
          <w:bottom w:w="0" w:type="dxa"/>
          <w:right w:w="80" w:type="dxa"/>
        </w:tblCellMar>
      </w:tblPr>
      <w:tblGrid>
        <w:gridCol w:w="8064"/>
        <w:gridCol w:w="1930"/>
      </w:tblGrid>
      <w:tr>
        <w:trPr>
          <w:cantSplit/>
        </w:trPr>
        <w:tc>
          <w:tcPr>
            <w:tcW w:type="dxa" w:w="8064"/>
            <w:vAlign w:val="center"/>
          </w:tcPr>
          <w:p>
            <w:pPr>
              <w:pStyle w:val="CVEntryHeader"/>
              <w:keepNext/>
            </w:pPr>
            <w:r>
              <w:rPr>
                <w:rFonts w:ascii="Arial" w:hAnsi="Arial"/>
                <w:b/>
                <w:i w:val="0"/>
                <w:color w:val="000000"/>
                <w:sz w:val="19"/>
              </w:rPr>
              <w:t>Hanyang University ERICA, Sports Coaching Major</w:t>
            </w:r>
          </w:p>
        </w:tc>
        <w:tc>
          <w:tcPr>
            <w:tcW w:type="dxa" w:w="1930"/>
            <w:vAlign w:val="center"/>
          </w:tcPr>
          <w:p>
            <w:pPr>
              <w:pStyle w:val="CVEntryHeader"/>
              <w:jc w:val="right"/>
            </w:pPr>
            <w:r>
              <w:rPr>
                <w:rFonts w:ascii="Arial" w:hAnsi="Arial"/>
                <w:b/>
                <w:i w:val="0"/>
                <w:color w:val="555555"/>
                <w:sz w:val="18"/>
              </w:rPr>
              <w:t>2019-2025</w:t>
            </w:r>
          </w:p>
        </w:tc>
      </w:tr>
    </w:tbl>
    <w:p>
      <w:pPr>
        <w:pStyle w:val="CVDetail"/>
        <w:spacing w:after="44"/>
      </w:pPr>
      <w:r>
        <w:rPr>
          <w:rFonts w:ascii="Arial" w:hAnsi="Arial"/>
          <w:b w:val="0"/>
          <w:i w:val="0"/>
          <w:color w:val="000000"/>
          <w:sz w:val="19"/>
        </w:rPr>
        <w:t>Undergraduate studies; period includes two years of mandatory military service.</w:t>
      </w:r>
    </w:p>
    <w:p>
      <w:pPr>
        <w:pStyle w:val="CVSection"/>
        <w:keepNext/>
        <w:pBdr>
          <w:bottom w:val="single" w:sz="8" w:space="2" w:color="A9B8C9"/>
        </w:pBdr>
      </w:pPr>
      <w:r>
        <w:rPr>
          <w:rFonts w:ascii="Arial" w:hAnsi="Arial"/>
          <w:b/>
          <w:i w:val="0"/>
          <w:color w:val="17365D"/>
          <w:sz w:val="20"/>
        </w:rPr>
        <w:t>PEER-REVIEWED JOURNAL ARTICLES</w:t>
      </w:r>
    </w:p>
    <w:p>
      <w:pPr>
        <w:pStyle w:val="CVPublication"/>
        <w:keepLines/>
      </w:pPr>
      <w:r>
        <w:rPr>
          <w:rFonts w:ascii="Arial" w:hAnsi="Arial"/>
          <w:b w:val="0"/>
          <w:i w:val="0"/>
          <w:color w:val="000000"/>
          <w:sz w:val="19"/>
        </w:rPr>
        <w:t xml:space="preserve">Cho, M., Park, D., Yoon, U. Y., Yuk, J., &amp; Kim, Y. (2025). </w:t>
      </w:r>
      <w:r>
        <w:rPr>
          <w:rFonts w:ascii="Arial" w:hAnsi="Arial"/>
          <w:b/>
          <w:i w:val="0"/>
          <w:color w:val="000000"/>
          <w:sz w:val="19"/>
        </w:rPr>
        <w:t xml:space="preserve">Effects of Biomechanical Improvements in Manual Handling Equipment on Users' Muscle Activations. </w:t>
      </w:r>
      <w:r>
        <w:rPr>
          <w:rFonts w:ascii="Arial" w:hAnsi="Arial"/>
          <w:b w:val="0"/>
          <w:i w:val="0"/>
          <w:color w:val="000000"/>
          <w:sz w:val="19"/>
        </w:rPr>
        <w:t xml:space="preserve">Archives of Orthopedic and Sports Physical Therapy, 21(2), 119-129. </w:t>
      </w:r>
      <w:hyperlink r:id="rId13">
        <w:r>
          <w:rPr>
            <w:rFonts w:ascii="Arial" w:hAnsi="Arial"/>
            <w:color w:val="17365D"/>
            <w:sz w:val="18"/>
            <w:szCs w:val="18"/>
          </w:rPr>
          <w:t>doi:10.24332/aospt.2025.21.2.12</w:t>
        </w:r>
      </w:hyperlink>
    </w:p>
    <w:p>
      <w:pPr>
        <w:pStyle w:val="CVPublication"/>
        <w:keepLines/>
      </w:pPr>
      <w:r>
        <w:rPr>
          <w:rFonts w:ascii="Arial" w:hAnsi="Arial"/>
          <w:b w:val="0"/>
          <w:i w:val="0"/>
          <w:color w:val="000000"/>
          <w:sz w:val="19"/>
        </w:rPr>
        <w:t xml:space="preserve">Cho, M., Park, D., &amp; Kim, Y. (2025). </w:t>
      </w:r>
      <w:r>
        <w:rPr>
          <w:rFonts w:ascii="Arial" w:hAnsi="Arial"/>
          <w:b/>
          <w:i w:val="0"/>
          <w:color w:val="000000"/>
          <w:sz w:val="19"/>
        </w:rPr>
        <w:t xml:space="preserve">Muscle Synergy Analysis for Identifying Muscle Coordination Patterns: A Non-negative Matrix Factorization (NMF)-Based Case Study. </w:t>
      </w:r>
      <w:r>
        <w:rPr>
          <w:rFonts w:ascii="Arial" w:hAnsi="Arial"/>
          <w:b w:val="0"/>
          <w:i w:val="0"/>
          <w:color w:val="000000"/>
          <w:sz w:val="19"/>
        </w:rPr>
        <w:t xml:space="preserve">Archives of Orthopedic and Sports Physical Therapy, 21(1), 31-43. </w:t>
      </w:r>
      <w:hyperlink r:id="rId14">
        <w:r>
          <w:rPr>
            <w:rFonts w:ascii="Arial" w:hAnsi="Arial"/>
            <w:color w:val="17365D"/>
            <w:sz w:val="18"/>
            <w:szCs w:val="18"/>
          </w:rPr>
          <w:t>doi:10.24332/aospt.2025.21.1.04</w:t>
        </w:r>
      </w:hyperlink>
    </w:p>
    <w:p>
      <w:pPr>
        <w:pStyle w:val="CVSection"/>
        <w:keepNext/>
        <w:pBdr>
          <w:bottom w:val="single" w:sz="8" w:space="2" w:color="A9B8C9"/>
        </w:pBdr>
      </w:pPr>
      <w:r>
        <w:rPr>
          <w:rFonts w:ascii="Arial" w:hAnsi="Arial"/>
          <w:b/>
          <w:i w:val="0"/>
          <w:color w:val="17365D"/>
          <w:sz w:val="20"/>
        </w:rPr>
        <w:t>RESEARCH EXPERIENCE</w:t>
      </w:r>
    </w:p>
    <w:tbl>
      <w:tblPr>
        <w:tblW w:type="dxa" w:w="9994"/>
        <w:jc w:val="left"/>
        <w:tblLayout w:type="fixed"/>
        <w:tblLook w:firstColumn="1" w:firstRow="1" w:lastColumn="0" w:lastRow="0" w:noHBand="0" w:noVBand="1" w:val="04A0"/>
        <w:tblInd w:w="0" w:type="dxa"/>
        <w:tblBorders>
          <w:top w:val="nil"/>
          <w:left w:val="nil"/>
          <w:bottom w:val="nil"/>
          <w:right w:val="nil"/>
          <w:insideH w:val="nil"/>
          <w:insideV w:val="nil"/>
        </w:tblBorders>
        <w:tblCellMar>
          <w:top w:w="0" w:type="dxa"/>
          <w:left w:w="80" w:type="dxa"/>
          <w:bottom w:w="0" w:type="dxa"/>
          <w:right w:w="80" w:type="dxa"/>
        </w:tblCellMar>
      </w:tblPr>
      <w:tblGrid>
        <w:gridCol w:w="8064"/>
        <w:gridCol w:w="1930"/>
      </w:tblGrid>
      <w:tr>
        <w:trPr>
          <w:cantSplit/>
        </w:trPr>
        <w:tc>
          <w:tcPr>
            <w:tcW w:type="dxa" w:w="8064"/>
            <w:vAlign w:val="center"/>
          </w:tcPr>
          <w:p>
            <w:pPr>
              <w:pStyle w:val="CVEntryHeader"/>
              <w:keepNext/>
            </w:pPr>
            <w:r>
              <w:rPr>
                <w:rFonts w:ascii="Arial" w:hAnsi="Arial"/>
                <w:b/>
                <w:i w:val="0"/>
                <w:color w:val="000000"/>
                <w:sz w:val="19"/>
              </w:rPr>
              <w:t>Cheongju University - Master's Research</w:t>
            </w:r>
          </w:p>
        </w:tc>
        <w:tc>
          <w:tcPr>
            <w:tcW w:type="dxa" w:w="1930"/>
            <w:vAlign w:val="center"/>
          </w:tcPr>
          <w:p>
            <w:pPr>
              <w:pStyle w:val="CVEntryHeader"/>
              <w:jc w:val="right"/>
            </w:pPr>
            <w:r>
              <w:rPr>
                <w:rFonts w:ascii="Arial" w:hAnsi="Arial"/>
                <w:b/>
                <w:i w:val="0"/>
                <w:color w:val="555555"/>
                <w:sz w:val="18"/>
              </w:rPr>
              <w:t>2025-present</w:t>
            </w:r>
          </w:p>
        </w:tc>
      </w:tr>
    </w:tbl>
    <w:p>
      <w:pPr>
        <w:pStyle w:val="CVBullet"/>
        <w:numPr>
          <w:ilvl w:val="0"/>
          <w:numId w:val="10"/>
        </w:numPr>
        <w:spacing w:before="0" w:after="44"/>
      </w:pPr>
      <w:r>
        <w:rPr>
          <w:rFonts w:ascii="Arial" w:hAnsi="Arial"/>
          <w:b w:val="0"/>
          <w:i w:val="0"/>
          <w:color w:val="000000"/>
          <w:sz w:val="19"/>
        </w:rPr>
        <w:t>Conducted biomechanics experiments involving 33 young adults and 40 community-dwelling older adults using multi-channel EMG, motion capture, and force plates.</w:t>
      </w:r>
    </w:p>
    <w:p>
      <w:pPr>
        <w:pStyle w:val="CVBullet"/>
        <w:numPr>
          <w:ilvl w:val="0"/>
          <w:numId w:val="10"/>
        </w:numPr>
        <w:spacing w:before="0" w:after="44"/>
      </w:pPr>
      <w:r>
        <w:rPr>
          <w:rFonts w:ascii="Arial" w:hAnsi="Arial"/>
          <w:b w:val="0"/>
          <w:i w:val="0"/>
          <w:color w:val="000000"/>
          <w:sz w:val="19"/>
        </w:rPr>
        <w:t>Analyzing age-related responses to unexpected perturbations in unconstrained environments, with emphasis on stepping and non-stepping postural strategies (ongoing).</w:t>
      </w:r>
    </w:p>
    <w:p>
      <w:pPr>
        <w:pStyle w:val="CVBullet"/>
        <w:numPr>
          <w:ilvl w:val="0"/>
          <w:numId w:val="10"/>
        </w:numPr>
        <w:spacing w:before="0" w:after="44"/>
      </w:pPr>
      <w:r>
        <w:rPr>
          <w:rFonts w:ascii="Arial" w:hAnsi="Arial"/>
          <w:b w:val="0"/>
          <w:i w:val="0"/>
          <w:color w:val="000000"/>
          <w:sz w:val="19"/>
        </w:rPr>
        <w:t>Analyzed gait muscle-coordination structures in patients with brain lesions using NMF-based muscle synergy and k-means clustering to compare synergy patterns between groups.</w:t>
      </w:r>
    </w:p>
    <w:p>
      <w:pPr>
        <w:pStyle w:val="CVBullet"/>
        <w:numPr>
          <w:ilvl w:val="0"/>
          <w:numId w:val="10"/>
        </w:numPr>
        <w:spacing w:before="0" w:after="44"/>
      </w:pPr>
      <w:r>
        <w:rPr>
          <w:rFonts w:ascii="Arial" w:hAnsi="Arial"/>
          <w:b w:val="0"/>
          <w:i w:val="0"/>
          <w:color w:val="000000"/>
          <w:sz w:val="19"/>
        </w:rPr>
        <w:t>Evaluated how biomechanically improved manual-handling equipment changes trunk and lower-limb muscle activation during pushing, pulling, and lifting tasks with a 20-kg load.</w:t>
      </w:r>
    </w:p>
    <w:p>
      <w:pPr>
        <w:pStyle w:val="CVBullet"/>
        <w:numPr>
          <w:ilvl w:val="0"/>
          <w:numId w:val="10"/>
        </w:numPr>
        <w:spacing w:before="0" w:after="44"/>
      </w:pPr>
      <w:r>
        <w:rPr>
          <w:rFonts w:ascii="Arial" w:hAnsi="Arial"/>
          <w:b w:val="0"/>
          <w:i w:val="0"/>
          <w:color w:val="000000"/>
          <w:sz w:val="19"/>
        </w:rPr>
        <w:t>Developed a Python-based automated fall-risk assessment and reporting system that grades experimental and questionnaire data and generates individualized PDF reports for older-adult participants.</w:t>
      </w:r>
    </w:p>
    <w:tbl>
      <w:tblPr>
        <w:tblW w:type="dxa" w:w="9994"/>
        <w:jc w:val="left"/>
        <w:tblLayout w:type="fixed"/>
        <w:tblLook w:firstColumn="1" w:firstRow="1" w:lastColumn="0" w:lastRow="0" w:noHBand="0" w:noVBand="1" w:val="04A0"/>
        <w:tblInd w:w="0" w:type="dxa"/>
        <w:tblBorders>
          <w:top w:val="nil"/>
          <w:left w:val="nil"/>
          <w:bottom w:val="nil"/>
          <w:right w:val="nil"/>
          <w:insideH w:val="nil"/>
          <w:insideV w:val="nil"/>
        </w:tblBorders>
        <w:tblCellMar>
          <w:top w:w="0" w:type="dxa"/>
          <w:left w:w="80" w:type="dxa"/>
          <w:bottom w:w="0" w:type="dxa"/>
          <w:right w:w="80" w:type="dxa"/>
        </w:tblCellMar>
      </w:tblPr>
      <w:tblGrid>
        <w:gridCol w:w="8064"/>
        <w:gridCol w:w="1930"/>
      </w:tblGrid>
      <w:tr>
        <w:trPr>
          <w:cantSplit/>
        </w:trPr>
        <w:tc>
          <w:tcPr>
            <w:tcW w:type="dxa" w:w="8064"/>
            <w:vAlign w:val="center"/>
          </w:tcPr>
          <w:p>
            <w:pPr>
              <w:pStyle w:val="CVEntryHeader"/>
              <w:keepNext/>
            </w:pPr>
            <w:r>
              <w:rPr>
                <w:rFonts w:ascii="Arial" w:hAnsi="Arial"/>
                <w:b/>
                <w:i w:val="0"/>
                <w:color w:val="000000"/>
                <w:sz w:val="19"/>
              </w:rPr>
              <w:t>Hanyang University ERICA - Undergraduate Research</w:t>
            </w:r>
          </w:p>
        </w:tc>
        <w:tc>
          <w:tcPr>
            <w:tcW w:type="dxa" w:w="1930"/>
            <w:vAlign w:val="center"/>
          </w:tcPr>
          <w:p>
            <w:pPr>
              <w:pStyle w:val="CVEntryHeader"/>
              <w:jc w:val="right"/>
            </w:pPr>
            <w:r>
              <w:rPr>
                <w:rFonts w:ascii="Arial" w:hAnsi="Arial"/>
                <w:b/>
                <w:i w:val="0"/>
                <w:color w:val="555555"/>
                <w:sz w:val="18"/>
              </w:rPr>
              <w:t>2019-2025</w:t>
            </w:r>
          </w:p>
        </w:tc>
      </w:tr>
    </w:tbl>
    <w:p>
      <w:pPr>
        <w:pStyle w:val="CVBullet"/>
        <w:numPr>
          <w:ilvl w:val="0"/>
          <w:numId w:val="10"/>
        </w:numPr>
        <w:spacing w:before="0" w:after="44"/>
      </w:pPr>
      <w:r>
        <w:rPr>
          <w:rFonts w:ascii="Arial" w:hAnsi="Arial"/>
          <w:b w:val="0"/>
          <w:i w:val="0"/>
          <w:color w:val="000000"/>
          <w:sz w:val="19"/>
        </w:rPr>
        <w:t>Studied motor-skill learning in the clean and jerk weightlifting movement across a three-week training period.</w:t>
      </w:r>
    </w:p>
    <w:p>
      <w:pPr>
        <w:pStyle w:val="CVBullet"/>
        <w:numPr>
          <w:ilvl w:val="0"/>
          <w:numId w:val="10"/>
        </w:numPr>
        <w:spacing w:before="0" w:after="44"/>
      </w:pPr>
      <w:r>
        <w:rPr>
          <w:rFonts w:ascii="Arial" w:hAnsi="Arial"/>
          <w:b w:val="0"/>
          <w:i w:val="0"/>
          <w:color w:val="000000"/>
          <w:sz w:val="19"/>
        </w:rPr>
        <w:t>Studied the effects of warm-up on golf-swing performance.</w:t>
      </w:r>
    </w:p>
    <w:p>
      <w:pPr>
        <w:pStyle w:val="CVSection"/>
        <w:keepNext/>
        <w:pBdr>
          <w:bottom w:val="single" w:sz="8" w:space="2" w:color="A9B8C9"/>
        </w:pBdr>
      </w:pPr>
      <w:r>
        <w:rPr>
          <w:rFonts w:ascii="Arial" w:hAnsi="Arial"/>
          <w:b/>
          <w:i w:val="0"/>
          <w:color w:val="17365D"/>
          <w:sz w:val="20"/>
        </w:rPr>
        <w:t>TECHNICAL SKILLS</w:t>
      </w:r>
    </w:p>
    <w:p>
      <w:pPr>
        <w:pStyle w:val="CVDetail"/>
        <w:spacing w:after="44"/>
      </w:pPr>
      <w:r>
        <w:rPr>
          <w:rFonts w:ascii="Arial" w:hAnsi="Arial"/>
          <w:b w:val="0"/>
          <w:i w:val="0"/>
          <w:color w:val="000000"/>
          <w:sz w:val="19"/>
        </w:rPr>
        <w:t>Data collection: 16-channel wireless EMG (Delsys), 14-camera Motive motion capture, and four force plates.</w:t>
      </w:r>
    </w:p>
    <w:p>
      <w:pPr>
        <w:pStyle w:val="CVDetail"/>
        <w:spacing w:after="44"/>
      </w:pPr>
      <w:r>
        <w:rPr>
          <w:rFonts w:ascii="Arial" w:hAnsi="Arial"/>
          <w:b w:val="0"/>
          <w:i w:val="0"/>
          <w:color w:val="000000"/>
          <w:sz w:val="19"/>
        </w:rPr>
        <w:t>Analysis: EMG processing, NMF muscle-synergy analysis, k-means clustering, biomechanics, and postural-control data.</w:t>
      </w:r>
    </w:p>
    <w:p>
      <w:pPr>
        <w:pStyle w:val="CVDetail"/>
        <w:spacing w:after="44"/>
      </w:pPr>
      <w:r>
        <w:rPr>
          <w:rFonts w:ascii="Arial" w:hAnsi="Arial"/>
          <w:b w:val="0"/>
          <w:i w:val="0"/>
          <w:color w:val="000000"/>
          <w:sz w:val="19"/>
        </w:rPr>
        <w:t>Programming: Python for data analysis, processing pipelines, research automation, and automated report generation.</w:t>
      </w:r>
    </w:p>
    <w:p>
      <w:pPr>
        <w:pStyle w:val="CVSection"/>
        <w:keepNext/>
        <w:pBdr>
          <w:bottom w:val="single" w:sz="8" w:space="2" w:color="A9B8C9"/>
        </w:pBdr>
      </w:pPr>
      <w:r>
        <w:rPr>
          <w:rFonts w:ascii="Arial" w:hAnsi="Arial"/>
          <w:b/>
          <w:i w:val="0"/>
          <w:color w:val="17365D"/>
          <w:sz w:val="20"/>
        </w:rPr>
        <w:t>TEACHING AND COMMUNITY ENGAGEMENT</w:t>
      </w:r>
    </w:p>
    <w:tbl>
      <w:tblPr>
        <w:tblW w:type="dxa" w:w="9994"/>
        <w:jc w:val="left"/>
        <w:tblLayout w:type="fixed"/>
        <w:tblLook w:firstColumn="1" w:firstRow="1" w:lastColumn="0" w:lastRow="0" w:noHBand="0" w:noVBand="1" w:val="04A0"/>
        <w:tblInd w:w="0" w:type="dxa"/>
        <w:tblBorders>
          <w:top w:val="nil"/>
          <w:left w:val="nil"/>
          <w:bottom w:val="nil"/>
          <w:right w:val="nil"/>
          <w:insideH w:val="nil"/>
          <w:insideV w:val="nil"/>
        </w:tblBorders>
        <w:tblCellMar>
          <w:top w:w="0" w:type="dxa"/>
          <w:left w:w="80" w:type="dxa"/>
          <w:bottom w:w="0" w:type="dxa"/>
          <w:right w:w="80" w:type="dxa"/>
        </w:tblCellMar>
      </w:tblPr>
      <w:tblGrid>
        <w:gridCol w:w="8064"/>
        <w:gridCol w:w="1930"/>
      </w:tblGrid>
      <w:tr>
        <w:trPr>
          <w:cantSplit/>
        </w:trPr>
        <w:tc>
          <w:tcPr>
            <w:tcW w:type="dxa" w:w="8064"/>
            <w:vAlign w:val="center"/>
          </w:tcPr>
          <w:p>
            <w:pPr>
              <w:pStyle w:val="CVEntryHeader"/>
              <w:keepNext/>
            </w:pPr>
            <w:r>
              <w:rPr>
                <w:rFonts w:ascii="Arial" w:hAnsi="Arial"/>
                <w:b/>
                <w:i w:val="0"/>
                <w:color w:val="000000"/>
                <w:sz w:val="19"/>
              </w:rPr>
              <w:t>Fall-Prevention Exercise Curriculum Co-author and Instructor</w:t>
            </w:r>
          </w:p>
        </w:tc>
        <w:tc>
          <w:tcPr>
            <w:tcW w:type="dxa" w:w="1930"/>
            <w:vAlign w:val="center"/>
          </w:tcPr>
          <w:p>
            <w:pPr>
              <w:pStyle w:val="CVEntryHeader"/>
              <w:jc w:val="right"/>
            </w:pPr>
            <w:r>
              <w:rPr>
                <w:rFonts w:ascii="Arial" w:hAnsi="Arial"/>
                <w:b/>
                <w:i w:val="0"/>
                <w:color w:val="555555"/>
                <w:sz w:val="18"/>
              </w:rPr>
              <w:t>2025</w:t>
            </w:r>
          </w:p>
        </w:tc>
      </w:tr>
    </w:tbl>
    <w:p>
      <w:pPr>
        <w:pStyle w:val="CVBullet"/>
        <w:numPr>
          <w:ilvl w:val="0"/>
          <w:numId w:val="10"/>
        </w:numPr>
        <w:spacing w:before="0" w:after="44"/>
      </w:pPr>
      <w:r>
        <w:rPr>
          <w:rFonts w:ascii="Arial" w:hAnsi="Arial"/>
          <w:b w:val="0"/>
          <w:i w:val="0"/>
          <w:color w:val="000000"/>
          <w:sz w:val="19"/>
        </w:rPr>
        <w:t>Co-authored fall-prevention teaching materials used in a specialist instructor training course and an education program for community-dwelling older adults.</w:t>
      </w:r>
    </w:p>
    <w:p>
      <w:pPr>
        <w:pStyle w:val="CVBullet"/>
        <w:numPr>
          <w:ilvl w:val="0"/>
          <w:numId w:val="10"/>
        </w:numPr>
        <w:spacing w:before="0" w:after="44"/>
      </w:pPr>
      <w:r>
        <w:rPr>
          <w:rFonts w:ascii="Arial" w:hAnsi="Arial"/>
          <w:b w:val="0"/>
          <w:i w:val="0"/>
          <w:color w:val="000000"/>
          <w:sz w:val="19"/>
        </w:rPr>
        <w:t>Delivered individualized fall-risk assessment reports and taught tailored fall-prevention exercises based on participant results.</w:t>
      </w:r>
    </w:p>
    <w:p>
      <w:pPr>
        <w:pStyle w:val="CVBullet"/>
        <w:numPr>
          <w:ilvl w:val="0"/>
          <w:numId w:val="10"/>
        </w:numPr>
        <w:spacing w:before="0" w:after="44"/>
      </w:pPr>
      <w:r>
        <w:rPr>
          <w:rFonts w:ascii="Arial" w:hAnsi="Arial"/>
          <w:b w:val="0"/>
          <w:i w:val="0"/>
          <w:color w:val="000000"/>
          <w:sz w:val="19"/>
        </w:rPr>
        <w:t>Participated in the 2025 Fall Prevention Specialist Instructor Training Course (BASIC), organized by the Korea Disease Control and Prevention Agency and the National Injury Management Center and operated by Korea University.</w:t>
      </w:r>
    </w:p>
    <w:p>
      <w:pPr>
        <w:pStyle w:val="CVSection"/>
        <w:keepNext/>
        <w:pBdr>
          <w:bottom w:val="single" w:sz="8" w:space="2" w:color="A9B8C9"/>
        </w:pBdr>
      </w:pPr>
      <w:r>
        <w:rPr>
          <w:rFonts w:ascii="Arial" w:hAnsi="Arial"/>
          <w:b/>
          <w:i w:val="0"/>
          <w:color w:val="17365D"/>
          <w:sz w:val="20"/>
        </w:rPr>
        <w:t>SELECTED RESEARCH SOFTWARE AND PROJECT LINKS</w:t>
      </w:r>
    </w:p>
    <w:p>
      <w:pPr>
        <w:pStyle w:val="CVDetail"/>
        <w:spacing w:after="44"/>
      </w:pPr>
      <w:r>
        <w:rPr>
          <w:rFonts w:ascii="Arial" w:hAnsi="Arial"/>
          <w:b/>
          <w:i w:val="0"/>
          <w:color w:val="000000"/>
          <w:sz w:val="19"/>
        </w:rPr>
        <w:t xml:space="preserve">Automated Fall-Risk Assessment and Reporting System: </w:t>
      </w:r>
      <w:hyperlink r:id="rId15">
        <w:r>
          <w:rPr>
            <w:rFonts w:ascii="Arial" w:hAnsi="Arial"/>
            <w:color w:val="17365D"/>
            <w:sz w:val="18"/>
            <w:szCs w:val="18"/>
          </w:rPr>
          <w:t>github.com/Rukkha1024/elderly-balance-assessment-public</w:t>
        </w:r>
      </w:hyperlink>
    </w:p>
    <w:p>
      <w:pPr>
        <w:pStyle w:val="CVDetail"/>
        <w:spacing w:after="0"/>
      </w:pPr>
      <w:r>
        <w:rPr>
          <w:rFonts w:ascii="Arial" w:hAnsi="Arial"/>
          <w:b/>
          <w:i w:val="0"/>
          <w:color w:val="000000"/>
          <w:sz w:val="19"/>
        </w:rPr>
        <w:t xml:space="preserve">Clean and Jerk Motor-Learning Project: </w:t>
      </w:r>
      <w:hyperlink r:id="rId16">
        <w:r>
          <w:rPr>
            <w:rFonts w:ascii="Arial" w:hAnsi="Arial"/>
            <w:color w:val="17365D"/>
            <w:sz w:val="18"/>
            <w:szCs w:val="18"/>
          </w:rPr>
          <w:t>github.com/Rukkha1024/Clean-Jerk-Improvement-after-3-Weeks-of-Training</w:t>
        </w:r>
      </w:hyperlink>
    </w:p>
    <w:sectPr w:rsidR="00FC693F" w:rsidRPr="0006063C" w:rsidSect="00034616">
      <w:headerReference w:type="default" r:id="rId9"/>
      <w:footerReference w:type="default" r:id="rId10"/>
      <w:pgSz w:w="12240" w:h="15840"/>
      <w:pgMar w:top="1008" w:right="1123" w:bottom="1008" w:left="1123"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Arial" w:hAnsi="Arial"/>
        <w:b w:val="0"/>
        <w:i w:val="0"/>
        <w:color w:val="555555"/>
        <w:sz w:val="16"/>
      </w:rPr>
      <w:t xml:space="preserve">Page </w:t>
    </w:r>
    <w:r>
      <w:rPr>
        <w:rFonts w:ascii="Arial" w:hAnsi="Arial"/>
        <w:b w:val="0"/>
        <w:i w:val="0"/>
        <w:color w:val="555555"/>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b/>
        <w:i w:val="0"/>
        <w:color w:val="555555"/>
        <w:sz w:val="16"/>
      </w:rPr>
      <w:t>MINSEOK CHO  |  CURRICULUM VITAE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0"/>
      </w:pPr>
      <w:rPr>
        <w:rFonts w:ascii="Arial" w:hAnsi="Arial"/>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52" w:lineRule="auto"/>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VSection">
    <w:name w:val="CV Section"/>
    <w:basedOn w:val="Normal"/>
    <w:pPr>
      <w:spacing w:before="150" w:after="70" w:line="240" w:lineRule="auto"/>
    </w:pPr>
  </w:style>
  <w:style w:type="paragraph" w:customStyle="1" w:styleId="CVEntryHeader">
    <w:name w:val="CV Entry Header"/>
    <w:basedOn w:val="Normal"/>
    <w:pPr>
      <w:tabs>
        <w:tab w:pos="9994" w:val="right"/>
      </w:tabs>
      <w:spacing w:before="60" w:after="20" w:line="240" w:lineRule="auto"/>
    </w:pPr>
  </w:style>
  <w:style w:type="paragraph" w:customStyle="1" w:styleId="CVDetail">
    <w:name w:val="CV Detail"/>
    <w:basedOn w:val="Normal"/>
    <w:pPr>
      <w:spacing w:before="0" w:after="44" w:line="252" w:lineRule="auto"/>
    </w:pPr>
  </w:style>
  <w:style w:type="paragraph" w:customStyle="1" w:styleId="CVBullet">
    <w:name w:val="CV Bullet"/>
    <w:basedOn w:val="Normal"/>
    <w:pPr>
      <w:spacing w:after="44" w:line="252" w:lineRule="auto"/>
      <w:ind w:left="540" w:hanging="271"/>
    </w:pPr>
  </w:style>
  <w:style w:type="paragraph" w:customStyle="1" w:styleId="CVPublication">
    <w:name w:val="CV Publication"/>
    <w:basedOn w:val="Normal"/>
    <w:pPr>
      <w:spacing w:after="80" w:line="252" w:lineRule="auto"/>
      <w:ind w:left="317" w:hanging="317"/>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rukkha1024.github.io" TargetMode="External"/><Relationship Id="rId12" Type="http://schemas.openxmlformats.org/officeDocument/2006/relationships/hyperlink" Target="https://github.com/Rukkha1024" TargetMode="External"/><Relationship Id="rId13" Type="http://schemas.openxmlformats.org/officeDocument/2006/relationships/hyperlink" Target="https://doi.org/10.24332/aospt.2025.21.2.12" TargetMode="External"/><Relationship Id="rId14" Type="http://schemas.openxmlformats.org/officeDocument/2006/relationships/hyperlink" Target="https://doi.org/10.24332/aospt.2025.21.1.04" TargetMode="External"/><Relationship Id="rId15" Type="http://schemas.openxmlformats.org/officeDocument/2006/relationships/hyperlink" Target="https://github.com/Rukkha1024/elderly-balance-assessment-public" TargetMode="External"/><Relationship Id="rId16" Type="http://schemas.openxmlformats.org/officeDocument/2006/relationships/hyperlink" Target="https://github.com/Rukkha1024/Clean-Jerk-Improvement-after-3-Weeks-of-Train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Minseok Cho - Academic Curriculum Vitae</dc:title>
  <dc:subject>Academic CV for Ph.D. applications</dc:subject>
  <dc:creator>Minseok Cho</dc:creator>
  <cp:keywords>academic CV, EMG, muscle synergy, neuromuscular control</cp:keywords>
  <dc:description>generated by python-docx</dc:description>
  <cp:lastModifiedBy/>
  <cp:revision>1</cp:revision>
  <dcterms:created xsi:type="dcterms:W3CDTF">2013-12-23T23:15:00Z</dcterms:created>
  <dcterms:modified xsi:type="dcterms:W3CDTF">2013-12-23T23:15:00Z</dcterms:modified>
  <cp:category/>
</cp:coreProperties>
</file>