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Pr>
      <w:tblGrid>
        <w:gridCol w:w="3600"/>
        <w:gridCol w:w="3600"/>
        <w:gridCol w:w="3600"/>
      </w:tblGrid>
      <w:tr>
        <w:tc>
          <w:tcPr>
            <w:tcW w:type="dxa" w:w="3168"/>
            <w:vAlign w:val="center"/>
          </w:tcPr>
          <w:p>
            <w:pPr>
              <w:spacing w:before="0" w:after="0" w:line="276" w:lineRule="auto"/>
            </w:pPr>
            <w:r>
              <w:drawing>
                <wp:inline xmlns:a="http://schemas.openxmlformats.org/drawingml/2006/main" xmlns:pic="http://schemas.openxmlformats.org/drawingml/2006/picture">
                  <wp:extent cx="1005840" cy="1319784"/>
                  <wp:docPr id="1" name="Picture 1"/>
                  <wp:cNvGraphicFramePr>
                    <a:graphicFrameLocks noChangeAspect="1"/>
                  </wp:cNvGraphicFramePr>
                  <a:graphic>
                    <a:graphicData uri="http://schemas.openxmlformats.org/drawingml/2006/picture">
                      <pic:pic>
                        <pic:nvPicPr>
                          <pic:cNvPr id="0" name="profile.jpg"/>
                          <pic:cNvPicPr/>
                        </pic:nvPicPr>
                        <pic:blipFill>
                          <a:blip r:embed="rId9"/>
                          <a:stretch>
                            <a:fillRect/>
                          </a:stretch>
                        </pic:blipFill>
                        <pic:spPr>
                          <a:xfrm>
                            <a:off x="0" y="0"/>
                            <a:ext cx="1005840" cy="1319784"/>
                          </a:xfrm>
                          <a:prstGeom prst="rect"/>
                        </pic:spPr>
                      </pic:pic>
                    </a:graphicData>
                  </a:graphic>
                </wp:inline>
              </w:drawing>
            </w:r>
            <w:r>
              <w:t xml:space="preserve">   </w:t>
            </w:r>
            <w:r>
              <w:drawing>
                <wp:inline xmlns:a="http://schemas.openxmlformats.org/drawingml/2006/main" xmlns:pic="http://schemas.openxmlformats.org/drawingml/2006/picture">
                  <wp:extent cx="731520" cy="731520"/>
                  <wp:docPr id="2" name="Picture 2"/>
                  <wp:cNvGraphicFramePr>
                    <a:graphicFrameLocks noChangeAspect="1"/>
                  </wp:cNvGraphicFramePr>
                  <a:graphic>
                    <a:graphicData uri="http://schemas.openxmlformats.org/drawingml/2006/picture">
                      <pic:pic>
                        <pic:nvPicPr>
                          <pic:cNvPr id="0" name="qr_site.png"/>
                          <pic:cNvPicPr/>
                        </pic:nvPicPr>
                        <pic:blipFill>
                          <a:blip r:embed="rId10"/>
                          <a:stretch>
                            <a:fillRect/>
                          </a:stretch>
                        </pic:blipFill>
                        <pic:spPr>
                          <a:xfrm>
                            <a:off x="0" y="0"/>
                            <a:ext cx="731520" cy="731520"/>
                          </a:xfrm>
                          <a:prstGeom prst="rect"/>
                        </pic:spPr>
                      </pic:pic>
                    </a:graphicData>
                  </a:graphic>
                </wp:inline>
              </w:drawing>
            </w:r>
          </w:p>
          <w:p>
            <w:pPr>
              <w:spacing w:before="0" w:after="0" w:line="276" w:lineRule="auto"/>
            </w:pPr>
            <w:r>
              <w:rPr>
                <w:rFonts w:ascii="Open Sans" w:hAnsi="Open Sans" w:eastAsia="Open Sans"/>
                <w:b w:val="0"/>
                <w:color w:val="444444"/>
                <w:sz w:val="15"/>
              </w:rPr>
              <w:t xml:space="preserve">                                  Résumé</w:t>
            </w:r>
          </w:p>
        </w:tc>
        <w:tc>
          <w:tcPr>
            <w:tcW w:type="dxa" w:w="6192"/>
            <w:vAlign w:val="center"/>
          </w:tcPr>
          <w:p>
            <w:pPr>
              <w:spacing w:before="0" w:after="80" w:line="276" w:lineRule="auto"/>
              <w:jc w:val="center"/>
            </w:pPr>
            <w:r>
              <w:rPr>
                <w:rFonts w:ascii="Open Sans" w:hAnsi="Open Sans" w:eastAsia="Open Sans"/>
                <w:b/>
                <w:sz w:val="48"/>
              </w:rPr>
              <w:t>MINSEOK CHO</w:t>
            </w:r>
          </w:p>
          <w:p>
            <w:pPr>
              <w:spacing w:before="0" w:after="0" w:line="276" w:lineRule="auto"/>
              <w:jc w:val="center"/>
            </w:pPr>
            <w:r>
              <w:rPr>
                <w:rFonts w:ascii="Open Sans" w:hAnsi="Open Sans" w:eastAsia="Open Sans"/>
                <w:b w:val="0"/>
                <w:sz w:val="20"/>
              </w:rPr>
              <w:t>Cheongju, South Korea</w:t>
            </w:r>
          </w:p>
          <w:p>
            <w:pPr>
              <w:spacing w:before="0" w:after="0" w:line="276" w:lineRule="auto"/>
              <w:jc w:val="center"/>
            </w:pPr>
            <w:r>
              <w:rPr>
                <w:rFonts w:ascii="Open Sans" w:hAnsi="Open Sans" w:eastAsia="Open Sans"/>
                <w:b w:val="0"/>
                <w:sz w:val="20"/>
              </w:rPr>
              <w:t>cho9911@gmail.com</w:t>
            </w:r>
          </w:p>
          <w:p>
            <w:pPr>
              <w:spacing w:before="0" w:after="0" w:line="276" w:lineRule="auto"/>
              <w:jc w:val="center"/>
            </w:pPr>
            <w:r>
              <w:rPr>
                <w:rFonts w:ascii="Open Sans" w:hAnsi="Open Sans" w:eastAsia="Open Sans"/>
                <w:b w:val="0"/>
                <w:sz w:val="20"/>
              </w:rPr>
              <w:t>rukkha1024.github.io</w:t>
            </w:r>
          </w:p>
        </w:tc>
        <w:tc>
          <w:tcPr>
            <w:tcW w:type="dxa" w:w="1440"/>
            <w:vAlign w:val="center"/>
          </w:tcPr>
          <w:p>
            <w:pPr>
              <w:spacing w:before="0" w:after="0" w:line="276" w:lineRule="auto"/>
              <w:jc w:val="right"/>
            </w:pPr>
            <w:r>
              <w:drawing>
                <wp:inline xmlns:a="http://schemas.openxmlformats.org/drawingml/2006/main" xmlns:pic="http://schemas.openxmlformats.org/drawingml/2006/picture">
                  <wp:extent cx="731520" cy="731520"/>
                  <wp:docPr id="3" name="Picture 3"/>
                  <wp:cNvGraphicFramePr>
                    <a:graphicFrameLocks noChangeAspect="1"/>
                  </wp:cNvGraphicFramePr>
                  <a:graphic>
                    <a:graphicData uri="http://schemas.openxmlformats.org/drawingml/2006/picture">
                      <pic:pic>
                        <pic:nvPicPr>
                          <pic:cNvPr id="0" name="qr_mail.png"/>
                          <pic:cNvPicPr/>
                        </pic:nvPicPr>
                        <pic:blipFill>
                          <a:blip r:embed="rId11"/>
                          <a:stretch>
                            <a:fillRect/>
                          </a:stretch>
                        </pic:blipFill>
                        <pic:spPr>
                          <a:xfrm>
                            <a:off x="0" y="0"/>
                            <a:ext cx="731520" cy="731520"/>
                          </a:xfrm>
                          <a:prstGeom prst="rect"/>
                        </pic:spPr>
                      </pic:pic>
                    </a:graphicData>
                  </a:graphic>
                </wp:inline>
              </w:drawing>
            </w:r>
          </w:p>
          <w:p>
            <w:pPr>
              <w:spacing w:before="0" w:after="0" w:line="276" w:lineRule="auto"/>
              <w:jc w:val="right"/>
            </w:pPr>
            <w:r>
              <w:rPr>
                <w:rFonts w:ascii="Open Sans" w:hAnsi="Open Sans" w:eastAsia="Open Sans"/>
                <w:b w:val="0"/>
                <w:color w:val="444444"/>
                <w:sz w:val="15"/>
              </w:rPr>
              <w:t xml:space="preserve">Email   </w:t>
            </w:r>
          </w:p>
        </w:tc>
      </w:tr>
    </w:tbl>
    <w:p>
      <w:pPr>
        <w:keepNext/>
        <w:spacing w:before="160" w:after="60" w:line="276" w:lineRule="auto"/>
        <w:pBdr>
          <w:bottom w:val="single" w:sz="12" w:space="1" w:color="1155CC"/>
        </w:pBdr>
      </w:pPr>
      <w:r>
        <w:rPr>
          <w:rFonts w:ascii="Open Sans" w:hAnsi="Open Sans" w:eastAsia="Open Sans"/>
          <w:b/>
          <w:color w:val="1155CC"/>
          <w:sz w:val="28"/>
        </w:rPr>
        <w:t>RESEARCH PROFILE</w:t>
      </w:r>
    </w:p>
    <w:p>
      <w:pPr>
        <w:spacing w:before="0" w:after="20" w:line="276" w:lineRule="auto"/>
      </w:pPr>
      <w:r>
        <w:rPr>
          <w:rFonts w:ascii="Open Sans" w:hAnsi="Open Sans" w:eastAsia="Open Sans"/>
          <w:b w:val="0"/>
          <w:sz w:val="20"/>
        </w:rPr>
        <w:t>I study how neural motor commands are reflected in muscle coordination and postural control. My work combines multi-channel electromyography, NMF-based muscle-synergy analysis, motion capture, force plates to examine repetitive responses to unexpected perturbations, with longer-term interests in motor-unit-level sensing, synthetic EMG, and neuromusculoskeletal digital twins.</w:t>
      </w:r>
    </w:p>
    <w:p>
      <w:pPr>
        <w:spacing w:before="0" w:after="20" w:line="276" w:lineRule="auto"/>
      </w:pPr>
      <w:r>
        <w:rPr>
          <w:rFonts w:ascii="Open Sans" w:hAnsi="Open Sans" w:eastAsia="Open Sans"/>
          <w:b/>
          <w:sz w:val="20"/>
        </w:rPr>
        <w:t>Directions I want to take further:</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Measuring what surface EMG cannot reach: deep and trunk muscles, and activity closer to the motor-unit level</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Synthetic EMG and neuromusculoskeletal digital twins linking neural drive, motor units, and muscle force</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Subject-specific models that prescribe, not just describe, what an individual should change</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Muscle coordination with anticipatory postural responses</w:t>
      </w:r>
    </w:p>
    <w:p>
      <w:pPr>
        <w:keepNext/>
        <w:spacing w:before="160" w:after="60" w:line="276" w:lineRule="auto"/>
        <w:pBdr>
          <w:bottom w:val="single" w:sz="12" w:space="1" w:color="1155CC"/>
        </w:pBdr>
      </w:pPr>
      <w:r>
        <w:rPr>
          <w:rFonts w:ascii="Open Sans" w:hAnsi="Open Sans" w:eastAsia="Open Sans"/>
          <w:b/>
          <w:color w:val="1155CC"/>
          <w:sz w:val="28"/>
        </w:rPr>
        <w:t>EDUCATION</w:t>
      </w:r>
    </w:p>
    <w:p>
      <w:pPr>
        <w:keepNext/>
        <w:tabs>
          <w:tab w:pos="10800" w:val="right"/>
        </w:tabs>
        <w:spacing w:before="80" w:after="20" w:line="276" w:lineRule="auto"/>
      </w:pPr>
      <w:r>
        <w:rPr>
          <w:rFonts w:ascii="Open Sans" w:hAnsi="Open Sans" w:eastAsia="Open Sans"/>
          <w:b/>
          <w:sz w:val="22"/>
        </w:rPr>
        <w:t>Cheongju University</w:t>
      </w:r>
      <w:r>
        <w:rPr>
          <w:rFonts w:ascii="Open Sans" w:hAnsi="Open Sans" w:eastAsia="Open Sans"/>
          <w:b/>
          <w:sz w:val="22"/>
        </w:rPr>
        <w:tab/>
        <w:t>Mar 2025-Aug 2027 (expected)</w:t>
      </w:r>
    </w:p>
    <w:p>
      <w:pPr>
        <w:spacing w:before="0" w:after="20" w:line="276" w:lineRule="auto"/>
      </w:pPr>
      <w:r>
        <w:rPr>
          <w:rFonts w:ascii="Open Sans" w:hAnsi="Open Sans" w:eastAsia="Open Sans"/>
          <w:b w:val="0"/>
          <w:sz w:val="20"/>
        </w:rPr>
        <w:t>M.S. in Sports Medicine</w:t>
      </w:r>
    </w:p>
    <w:p>
      <w:pPr>
        <w:spacing w:before="0" w:after="20" w:line="276" w:lineRule="auto"/>
      </w:pPr>
      <w:r>
        <w:rPr>
          <w:rFonts w:ascii="Open Sans" w:hAnsi="Open Sans" w:eastAsia="Open Sans"/>
          <w:b w:val="0"/>
          <w:sz w:val="20"/>
        </w:rPr>
        <w:t>Department of Sports Medicine; Advisor: Prof. Yushin Kim</w:t>
      </w:r>
    </w:p>
    <w:p>
      <w:pPr>
        <w:spacing w:before="0" w:after="20" w:line="276" w:lineRule="auto"/>
      </w:pPr>
      <w:r>
        <w:rPr>
          <w:rFonts w:ascii="Open Sans" w:hAnsi="Open Sans" w:eastAsia="Open Sans"/>
          <w:b w:val="0"/>
          <w:sz w:val="20"/>
        </w:rPr>
        <w:t>GPA: 4.00/4.00</w:t>
      </w:r>
    </w:p>
    <w:p>
      <w:pPr>
        <w:keepNext/>
        <w:tabs>
          <w:tab w:pos="10800" w:val="right"/>
        </w:tabs>
        <w:spacing w:before="80" w:after="20" w:line="276" w:lineRule="auto"/>
      </w:pPr>
      <w:r>
        <w:rPr>
          <w:rFonts w:ascii="Open Sans" w:hAnsi="Open Sans" w:eastAsia="Open Sans"/>
          <w:b/>
          <w:sz w:val="22"/>
        </w:rPr>
        <w:t>Hanyang University ERICA</w:t>
      </w:r>
      <w:r>
        <w:rPr>
          <w:rFonts w:ascii="Open Sans" w:hAnsi="Open Sans" w:eastAsia="Open Sans"/>
          <w:b/>
          <w:sz w:val="22"/>
        </w:rPr>
        <w:tab/>
        <w:t>Mar 2019-Feb 2025</w:t>
      </w:r>
    </w:p>
    <w:p>
      <w:pPr>
        <w:spacing w:before="0" w:after="20" w:line="276" w:lineRule="auto"/>
      </w:pPr>
      <w:r>
        <w:rPr>
          <w:rFonts w:ascii="Open Sans" w:hAnsi="Open Sans" w:eastAsia="Open Sans"/>
          <w:b w:val="0"/>
          <w:sz w:val="20"/>
        </w:rPr>
        <w:t>Sport Coaching; Media &amp; Social Informatics (including two years of mandatory military service)</w:t>
      </w:r>
    </w:p>
    <w:p>
      <w:pPr>
        <w:spacing w:before="0" w:after="20" w:line="276" w:lineRule="auto"/>
      </w:pPr>
      <w:r>
        <w:rPr>
          <w:rFonts w:ascii="Open Sans" w:hAnsi="Open Sans" w:eastAsia="Open Sans"/>
          <w:b w:val="0"/>
          <w:sz w:val="20"/>
        </w:rPr>
        <w:t>GPA: 3.62/4.00</w:t>
      </w:r>
    </w:p>
    <w:p>
      <w:pPr>
        <w:keepNext/>
        <w:spacing w:before="160" w:after="60" w:line="276" w:lineRule="auto"/>
        <w:pBdr>
          <w:bottom w:val="single" w:sz="12" w:space="1" w:color="1155CC"/>
        </w:pBdr>
      </w:pPr>
      <w:r>
        <w:rPr>
          <w:rFonts w:ascii="Open Sans" w:hAnsi="Open Sans" w:eastAsia="Open Sans"/>
          <w:b/>
          <w:color w:val="1155CC"/>
          <w:sz w:val="28"/>
        </w:rPr>
        <w:t>GRANTS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Master's Student Research Grant</w:t>
      </w:r>
      <w:r>
        <w:rPr>
          <w:rFonts w:ascii="Open Sans" w:hAnsi="Open Sans" w:eastAsia="Open Sans"/>
          <w:b w:val="0"/>
          <w:sz w:val="20"/>
        </w:rPr>
        <w:t>, National Research Foundation of Korea. "Predicting Fall Risk in Older Adults Using Muscle Synergy Analysis and Convolutional Neural Networks (CNN)." Principal Investigator. KRW 12,000,000 (USD 8,700). 2026-2027.</w:t>
      </w:r>
    </w:p>
    <w:p>
      <w:pPr>
        <w:keepNext/>
        <w:spacing w:before="160" w:after="60" w:line="276" w:lineRule="auto"/>
        <w:pBdr>
          <w:bottom w:val="single" w:sz="12" w:space="1" w:color="1155CC"/>
        </w:pBdr>
      </w:pPr>
      <w:r>
        <w:rPr>
          <w:rFonts w:ascii="Open Sans" w:hAnsi="Open Sans" w:eastAsia="Open Sans"/>
          <w:b/>
          <w:color w:val="1155CC"/>
          <w:sz w:val="28"/>
        </w:rPr>
        <w:t>JOURNAL ARTICLES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Minseok Cho</w:t>
      </w:r>
      <w:r>
        <w:rPr>
          <w:rFonts w:ascii="Open Sans" w:hAnsi="Open Sans" w:eastAsia="Open Sans"/>
          <w:b w:val="0"/>
          <w:sz w:val="20"/>
        </w:rPr>
        <w:t>, &amp; Yushin Kim. (2026). A within-subject biomechanical comparison of stepping and non-stepping responses to identical unexpected perturbations (under review).</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Compares stepping and non-stepping responses within the same participants.</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Uses identical unexpected perturbations to distinguish response strategy from perturbation conditions.</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Examines the biomechanical differences between the two response types.</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Minseok Cho</w:t>
      </w:r>
      <w:r>
        <w:rPr>
          <w:rFonts w:ascii="Open Sans" w:hAnsi="Open Sans" w:eastAsia="Open Sans"/>
          <w:b w:val="0"/>
          <w:sz w:val="20"/>
        </w:rPr>
        <w:t xml:space="preserve">, Dahoon Park, Ui Yeol Yoon, Jiyeon Yuk, &amp; Yushin Kim. (2025). Effects of Biomechanical Improvements in Manual Handling Equipment on Users' Muscle Activations. Archives of Orthopedic and Sports Physical Therapy, 21(2), 119-129. </w:t>
      </w:r>
      <w:r>
        <w:rPr>
          <w:rFonts w:ascii="Open Sans" w:hAnsi="Open Sans" w:eastAsia="Open Sans"/>
          <w:b/>
          <w:color w:val="1155CC"/>
          <w:sz w:val="20"/>
        </w:rPr>
        <w:t>https://doi.org/10.24332/aospt.2025.21.2.12</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Compares trunk and lower-limb muscle activation in 28 healthy adults who performed pushing, pulling, and lifting tasks with a 20-kg load.</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Finds that the long adjustable handle reduced T7 erector spinae activation across all tasks and soleus activation during pulling compared with the short handle.</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Indicates that an extended adjustable handle may reduce muscular and musculoskeletal demands during industrial manual handling.</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Minseok Cho</w:t>
      </w:r>
      <w:r>
        <w:rPr>
          <w:rFonts w:ascii="Open Sans" w:hAnsi="Open Sans" w:eastAsia="Open Sans"/>
          <w:b w:val="0"/>
          <w:sz w:val="20"/>
        </w:rPr>
        <w:t xml:space="preserve">, Dahoon Park, &amp; Yushin Kim. (2025). Muscle Synergy Analysis for Identifying Muscle Coordination Patterns: A Non-negative Matrix Factorization (NMF)-Based Case Study. Archives of Orthopedic and Sports Physical Therapy, 21(1), 31-43. </w:t>
      </w:r>
      <w:r>
        <w:rPr>
          <w:rFonts w:ascii="Open Sans" w:hAnsi="Open Sans" w:eastAsia="Open Sans"/>
          <w:b/>
          <w:color w:val="1155CC"/>
          <w:sz w:val="20"/>
        </w:rPr>
        <w:t>https://doi.org/10.24332/aospt.2025.21.1.04</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Presents a practical framework that uses non-negative matrix factorization to decompose EMG signals into muscle synergies and variance accounted for to select the number of synergies.</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Demonstrates the framework with simulated two-channel EMG data under a single-synergy assumption.</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Uses five proportional, inverse, and independent signal patterns to illustrate muscle coordination in sports and clinical settings.</w:t>
      </w:r>
    </w:p>
    <w:p>
      <w:pPr>
        <w:keepNext/>
        <w:spacing w:before="160" w:after="60" w:line="276" w:lineRule="auto"/>
        <w:pBdr>
          <w:bottom w:val="single" w:sz="12" w:space="1" w:color="1155CC"/>
        </w:pBdr>
      </w:pPr>
      <w:r>
        <w:rPr>
          <w:rFonts w:ascii="Open Sans" w:hAnsi="Open Sans" w:eastAsia="Open Sans"/>
          <w:b/>
          <w:color w:val="1155CC"/>
          <w:sz w:val="28"/>
        </w:rPr>
        <w:t>RESEARCH EXPERIENCE</w:t>
      </w:r>
    </w:p>
    <w:p>
      <w:pPr>
        <w:keepNext/>
        <w:tabs>
          <w:tab w:pos="10800" w:val="right"/>
        </w:tabs>
        <w:spacing w:before="80" w:after="20" w:line="276" w:lineRule="auto"/>
      </w:pPr>
      <w:r>
        <w:rPr>
          <w:rFonts w:ascii="Open Sans" w:hAnsi="Open Sans" w:eastAsia="Open Sans"/>
          <w:b/>
          <w:sz w:val="22"/>
        </w:rPr>
        <w:t>Cheongju University - Master's Research</w:t>
      </w:r>
      <w:r>
        <w:rPr>
          <w:rFonts w:ascii="Open Sans" w:hAnsi="Open Sans" w:eastAsia="Open Sans"/>
          <w:b/>
          <w:sz w:val="22"/>
        </w:rPr>
        <w:tab/>
        <w:t>2025-present</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Conducted biomechanics projects</w:t>
      </w:r>
      <w:r>
        <w:rPr>
          <w:rFonts w:ascii="Open Sans" w:hAnsi="Open Sans" w:eastAsia="Open Sans"/>
          <w:b w:val="0"/>
          <w:sz w:val="20"/>
        </w:rPr>
        <w:t xml:space="preserve"> with 33 young adults and 40 older adults.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Compared stepping and non-stepping responses to identical unexpected perturbations within subjects (under review, 2026).</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Analyzing age-related differences in perturbation responses in unconstrained environments (ongoing).</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PI, NRF Master's Student Research Grant (2026-2027): predicting fall risk in older adults with muscle synergy and CNN.</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Analyzed gait muscle-coordination structures in patients with brain lesions using NMF-based muscle-synergy analysis and k-means clustering to compare patterns between groups.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Analyzed how biomechanically improved manual-handling equipment changed trunk and lower-limb muscle activation during pushing, pulling, and lifting tasks with a 20-kg load.</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Created a Python-based fall-risk assessment and reporting system that grades experimental and questionnaire data and generates individualized PDF reports for older-adult participants (open-source).</w:t>
      </w:r>
    </w:p>
    <w:p>
      <w:pPr>
        <w:keepNext/>
        <w:tabs>
          <w:tab w:pos="10800" w:val="right"/>
        </w:tabs>
        <w:spacing w:before="80" w:after="20" w:line="276" w:lineRule="auto"/>
      </w:pPr>
      <w:r>
        <w:rPr>
          <w:rFonts w:ascii="Open Sans" w:hAnsi="Open Sans" w:eastAsia="Open Sans"/>
          <w:b/>
          <w:sz w:val="22"/>
        </w:rPr>
        <w:t>Hanyang University ERICA - Undergraduate Research</w:t>
      </w:r>
      <w:r>
        <w:rPr>
          <w:rFonts w:ascii="Open Sans" w:hAnsi="Open Sans" w:eastAsia="Open Sans"/>
          <w:b/>
          <w:sz w:val="22"/>
        </w:rPr>
        <w:tab/>
        <w:t>2019-2025</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Studied motor-skill learning in the clean and jerk weightlifting movement across a three-week training period.</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Studied the effects of warm-up on golf-swing performance.</w:t>
      </w:r>
    </w:p>
    <w:p>
      <w:pPr>
        <w:keepNext/>
        <w:spacing w:before="160" w:after="60" w:line="276" w:lineRule="auto"/>
        <w:pBdr>
          <w:bottom w:val="single" w:sz="12" w:space="1" w:color="1155CC"/>
        </w:pBdr>
      </w:pPr>
      <w:r>
        <w:rPr>
          <w:rFonts w:ascii="Open Sans" w:hAnsi="Open Sans" w:eastAsia="Open Sans"/>
          <w:b/>
          <w:color w:val="1155CC"/>
          <w:sz w:val="28"/>
        </w:rPr>
        <w:t>TECHNICAL SKILLS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Data collection:</w:t>
      </w:r>
      <w:r>
        <w:rPr>
          <w:rFonts w:ascii="Open Sans" w:hAnsi="Open Sans" w:eastAsia="Open Sans"/>
          <w:b w:val="0"/>
          <w:sz w:val="20"/>
        </w:rPr>
        <w:t xml:space="preserve"> 16-channel wireless EMG (Delsys), 14-camera Motive motion capture, and four force plates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Analysis:</w:t>
      </w:r>
      <w:r>
        <w:rPr>
          <w:rFonts w:ascii="Open Sans" w:hAnsi="Open Sans" w:eastAsia="Open Sans"/>
          <w:b w:val="0"/>
          <w:sz w:val="20"/>
        </w:rPr>
        <w:t xml:space="preserve"> EMG processing, NMF muscle-synergy analysis, k-means clustering, biomechanics, and postural-control data</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Machine learning:</w:t>
      </w:r>
      <w:r>
        <w:rPr>
          <w:rFonts w:ascii="Open Sans" w:hAnsi="Open Sans" w:eastAsia="Open Sans"/>
          <w:b w:val="0"/>
          <w:sz w:val="20"/>
        </w:rPr>
        <w:t xml:space="preserve"> convolutional neural networks (CNN) for movement and EMG data</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Programming:</w:t>
      </w:r>
      <w:r>
        <w:rPr>
          <w:rFonts w:ascii="Open Sans" w:hAnsi="Open Sans" w:eastAsia="Open Sans"/>
          <w:b w:val="0"/>
          <w:sz w:val="20"/>
        </w:rPr>
        <w:t xml:space="preserve"> Python, R</w:t>
      </w:r>
    </w:p>
    <w:p>
      <w:pPr>
        <w:keepNext/>
        <w:spacing w:before="160" w:after="60" w:line="276" w:lineRule="auto"/>
        <w:pBdr>
          <w:bottom w:val="single" w:sz="12" w:space="1" w:color="1155CC"/>
        </w:pBdr>
      </w:pPr>
      <w:r>
        <w:rPr>
          <w:rFonts w:ascii="Open Sans" w:hAnsi="Open Sans" w:eastAsia="Open Sans"/>
          <w:b/>
          <w:color w:val="1155CC"/>
          <w:sz w:val="28"/>
        </w:rPr>
        <w:t>TEACHING &amp; COMMUNITY ENGAGEMENT</w:t>
      </w:r>
    </w:p>
    <w:p>
      <w:pPr>
        <w:keepNext/>
        <w:tabs>
          <w:tab w:pos="10800" w:val="right"/>
        </w:tabs>
        <w:spacing w:before="80" w:after="20" w:line="276" w:lineRule="auto"/>
      </w:pPr>
      <w:r>
        <w:rPr>
          <w:rFonts w:ascii="Open Sans" w:hAnsi="Open Sans" w:eastAsia="Open Sans"/>
          <w:b/>
          <w:sz w:val="22"/>
        </w:rPr>
        <w:t>Fall-Prevention Exercise Curriculum Co-author and Instructor</w:t>
      </w:r>
      <w:r>
        <w:rPr>
          <w:rFonts w:ascii="Open Sans" w:hAnsi="Open Sans" w:eastAsia="Open Sans"/>
          <w:b/>
          <w:sz w:val="22"/>
        </w:rPr>
        <w:tab/>
        <w:t>2025</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Co-authored fall-prevention teaching materials used in a specialist instructor training course and an education program for community-dwelling older adults.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Delivered individualized fall-risk assessment reports and taught tailored fall-prevention exercises based on participant results.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Participated in the 2025 Fall Prevention Specialist Instructor Training Course (BASIC), organized by the Korea Disease Control and Prevention Agency and the National Injury Management Center and operated by Korea University.</w:t>
      </w:r>
    </w:p>
    <w:p>
      <w:pPr>
        <w:keepNext/>
        <w:spacing w:before="160" w:after="60" w:line="276" w:lineRule="auto"/>
        <w:pBdr>
          <w:bottom w:val="single" w:sz="12" w:space="1" w:color="1155CC"/>
        </w:pBdr>
      </w:pPr>
      <w:r>
        <w:rPr>
          <w:rFonts w:ascii="Open Sans" w:hAnsi="Open Sans" w:eastAsia="Open Sans"/>
          <w:b/>
          <w:color w:val="1155CC"/>
          <w:sz w:val="28"/>
        </w:rPr>
        <w:t>HOBBIES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Artistic gymnastics; strength &amp; functional training; workflow automation with Python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