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ADR-006: Project Rename from Verdict to Assay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7ae60"/>
              </w:rPr>
              <w:t xml:space="preserve">Accepted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December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Supersedes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N/A (naming decision)</w:t>
            </w:r>
          </w:p>
        </w:tc>
      </w:tr>
    </w:tbl>
    <w:p/>
    <w:p>
      <w:pPr>
        <w:pStyle w:val="Heading1"/>
      </w:pPr>
      <w:r>
        <w:t xml:space="preserve">Context</w:t>
      </w:r>
    </w:p>
    <w:p>
      <w:pPr>
        <w:spacing w:after="120"/>
      </w:pPr>
      <w:r>
        <w:t xml:space="preserve">During preparation for v0.3.0 release, we discovered that the name "Verdict" is already taken on both major package registries: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Existing 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verdict</w:t>
            </w:r>
            <w:r>
              <w:t xml:space="preserve"> — LLM evaluation pipelines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Haize Labs (v0.2.7, Jul 2025)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crates.io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verdict</w:t>
            </w:r>
            <w:r>
              <w:t xml:space="preserve"> — X.509 certificate validator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secure-foundations (Jun 2025)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Critical issue: </w:t>
      </w:r>
      <w:r>
        <w:t xml:space="preserve">The PyPI package "verdict" is in the same domain (LLM evaluation), making confusion highly likely. Publishing under the same name would cause:</w:t>
      </w:r>
    </w:p>
    <w:p>
      <w:pPr>
        <w:pStyle w:val="ListParagraph"/>
        <w:numPr>
          <w:ilvl w:val="0"/>
          <w:numId w:val="2"/>
        </w:numPr>
      </w:pPr>
      <w:r>
        <w:t xml:space="preserve">User confusion and installation errors</w:t>
      </w:r>
    </w:p>
    <w:p>
      <w:pPr>
        <w:pStyle w:val="ListParagraph"/>
        <w:numPr>
          <w:ilvl w:val="0"/>
          <w:numId w:val="2"/>
        </w:numPr>
      </w:pPr>
      <w:r>
        <w:t xml:space="preserve">Potential trademark/legal issues</w:t>
      </w:r>
    </w:p>
    <w:p>
      <w:pPr>
        <w:pStyle w:val="ListParagraph"/>
        <w:numPr>
          <w:ilvl w:val="0"/>
          <w:numId w:val="2"/>
        </w:numPr>
      </w:pPr>
      <w:r>
        <w:t xml:space="preserve">SEO competition with established player</w:t>
      </w:r>
    </w:p>
    <w:p>
      <w:pPr>
        <w:pStyle w:val="ListParagraph"/>
        <w:numPr>
          <w:ilvl w:val="0"/>
          <w:numId w:val="2"/>
        </w:numPr>
      </w:pPr>
      <w:r>
        <w:t xml:space="preserve">Inability to claim PyPI namespace</w:t>
      </w:r>
    </w:p>
    <w:p>
      <w:pPr>
        <w:pStyle w:val="Heading1"/>
      </w:pPr>
      <w:r>
        <w:t xml:space="preserve">Decision</w:t>
      </w:r>
    </w:p>
    <w:p>
      <w:pPr>
        <w:spacing w:after="120"/>
      </w:pPr>
      <w:r>
        <w:rPr>
          <w:b/>
          <w:bCs/>
        </w:rPr>
        <w:t xml:space="preserve">Rename the project from "Verdict" to "Assay".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"In metallurgy, an assay determines the purity of precious metals.
In software, Assay determines the quality of your AI."</w:t>
      </w:r>
    </w:p>
    <w:p>
      <w:pPr>
        <w:pStyle w:val="Heading2"/>
      </w:pPr>
      <w:r>
        <w:t xml:space="preserve">Why "Assay"?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PyPI available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ae60"/>
              </w:rPr>
              <w:t xml:space="preserve">✅ 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crates.io available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ae60"/>
              </w:rPr>
              <w:t xml:space="preserve">✅ 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npm available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ae60"/>
              </w:rPr>
              <w:t xml:space="preserve">✅ Yes (with @assay scope)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letters — short and memorable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Meaning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"Formal quality test" — perfect fit for LLM evaluation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Professional tone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Scientific/industrial — matches enterprise positioning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suffix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Clean branding (not "assay-ai" or "assay-eval")</w:t>
            </w:r>
          </w:p>
        </w:tc>
      </w:tr>
    </w:tbl>
    <w:p>
      <w:pPr>
        <w:pStyle w:val="Heading2"/>
      </w:pPr>
      <w:r>
        <w:t xml:space="preserve">Alternatives Considered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PyPI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crates.io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Reason Rejected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touchstone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PyPI taken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PyPI taken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argus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PyPI taken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PyPI taken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evaltrace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Less elegant, compound 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</w:rPr>
              <w:t xml:space="preserve">assay 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</w:rPr>
              <w:t xml:space="preserve">Selected — best overall</w:t>
            </w:r>
          </w:p>
        </w:tc>
      </w:tr>
    </w:tbl>
    <w:p>
      <w:pPr>
        <w:pStyle w:val="Heading1"/>
      </w:pPr>
      <w:r>
        <w:t xml:space="preserve">Implementation Checklist</w:t>
      </w:r>
    </w:p>
    <w:p>
      <w:pPr>
        <w:pStyle w:val="Heading2"/>
      </w:pPr>
      <w:r>
        <w:t xml:space="preserve">Phase 1: Registry Claims (Immediate)</w:t>
      </w:r>
    </w:p>
    <w:p>
      <w:pPr>
        <w:pStyle w:val="ListParagraph"/>
        <w:numPr>
          <w:ilvl w:val="0"/>
          <w:numId w:val="3"/>
        </w:numPr>
      </w:pPr>
      <w:r>
        <w:t xml:space="preserve">Claim </w:t>
      </w:r>
      <w:r>
        <w:rPr>
          <w:rFonts w:ascii="Courier New" w:cs="Courier New" w:eastAsia="Courier New" w:hAnsi="Courier New"/>
          <w:sz w:val="20"/>
          <w:szCs w:val="20"/>
        </w:rPr>
        <w:t xml:space="preserve">assay</w:t>
      </w:r>
      <w:r>
        <w:t xml:space="preserve"> on PyPI (placeholder 0.0.1)</w:t>
      </w:r>
    </w:p>
    <w:p>
      <w:pPr>
        <w:pStyle w:val="ListParagraph"/>
        <w:numPr>
          <w:ilvl w:val="0"/>
          <w:numId w:val="3"/>
        </w:numPr>
      </w:pPr>
      <w:r>
        <w:t xml:space="preserve">Claim </w:t>
      </w:r>
      <w:r>
        <w:rPr>
          <w:rFonts w:ascii="Courier New" w:cs="Courier New" w:eastAsia="Courier New" w:hAnsi="Courier New"/>
          <w:sz w:val="20"/>
          <w:szCs w:val="20"/>
        </w:rPr>
        <w:t xml:space="preserve">assay</w:t>
      </w:r>
      <w:r>
        <w:t xml:space="preserve"> on crates.io</w:t>
      </w:r>
    </w:p>
    <w:p>
      <w:pPr>
        <w:pStyle w:val="ListParagraph"/>
        <w:numPr>
          <w:ilvl w:val="0"/>
          <w:numId w:val="3"/>
        </w:numPr>
      </w:pPr>
      <w:r>
        <w:t xml:space="preserve">Claim </w:t>
      </w:r>
      <w:r>
        <w:rPr>
          <w:rFonts w:ascii="Courier New" w:cs="Courier New" w:eastAsia="Courier New" w:hAnsi="Courier New"/>
          <w:sz w:val="20"/>
          <w:szCs w:val="20"/>
        </w:rPr>
        <w:t xml:space="preserve">@assay/cli</w:t>
      </w:r>
      <w:r>
        <w:t xml:space="preserve"> on npm</w:t>
      </w:r>
    </w:p>
    <w:p>
      <w:pPr>
        <w:pStyle w:val="Heading2"/>
      </w:pPr>
      <w:r>
        <w:t xml:space="preserve">Phase 2: Code Rename</w:t>
      </w:r>
    </w:p>
    <w:p>
      <w:pPr>
        <w:pStyle w:val="ListParagraph"/>
        <w:numPr>
          <w:ilvl w:val="0"/>
          <w:numId w:val="3"/>
        </w:numPr>
      </w:pPr>
      <w:r>
        <w:t xml:space="preserve">GitHub repo: Rul1an/verdict → Rul1an/assay</w:t>
      </w:r>
    </w:p>
    <w:p>
      <w:pPr>
        <w:pStyle w:val="ListParagraph"/>
        <w:numPr>
          <w:ilvl w:val="0"/>
          <w:numId w:val="3"/>
        </w:numPr>
      </w:pPr>
      <w:r>
        <w:t xml:space="preserve">Cargo.toml: </w:t>
      </w:r>
      <w:r>
        <w:rPr>
          <w:rFonts w:ascii="Courier New" w:cs="Courier New" w:eastAsia="Courier New" w:hAnsi="Courier New"/>
          <w:sz w:val="20"/>
          <w:szCs w:val="20"/>
        </w:rPr>
        <w:t xml:space="preserve">name = "assay"</w:t>
      </w:r>
    </w:p>
    <w:p>
      <w:pPr>
        <w:pStyle w:val="ListParagraph"/>
        <w:numPr>
          <w:ilvl w:val="0"/>
          <w:numId w:val="3"/>
        </w:numPr>
      </w:pPr>
      <w:r>
        <w:t xml:space="preserve">Crate names: assay-core, assay-cli, assay-metrics</w:t>
      </w:r>
    </w:p>
    <w:p>
      <w:pPr>
        <w:pStyle w:val="ListParagraph"/>
        <w:numPr>
          <w:ilvl w:val="0"/>
          <w:numId w:val="3"/>
        </w:numPr>
      </w:pPr>
      <w:r>
        <w:t xml:space="preserve">Binary name: assay</w:t>
      </w:r>
    </w:p>
    <w:p>
      <w:pPr>
        <w:pStyle w:val="ListParagraph"/>
        <w:numPr>
          <w:ilvl w:val="0"/>
          <w:numId w:val="3"/>
        </w:numPr>
      </w:pPr>
      <w:r>
        <w:t xml:space="preserve">GitHub Action: assay-action</w:t>
      </w:r>
    </w:p>
    <w:p>
      <w:pPr>
        <w:pStyle w:val="Heading2"/>
      </w:pPr>
      <w:r>
        <w:t xml:space="preserve">Phase 3: Documentation</w:t>
      </w:r>
    </w:p>
    <w:p>
      <w:pPr>
        <w:pStyle w:val="ListParagraph"/>
        <w:numPr>
          <w:ilvl w:val="0"/>
          <w:numId w:val="3"/>
        </w:numPr>
      </w:pPr>
      <w:r>
        <w:t xml:space="preserve">Update all ADRs (001-005)</w:t>
      </w:r>
    </w:p>
    <w:p>
      <w:pPr>
        <w:pStyle w:val="ListParagraph"/>
        <w:numPr>
          <w:ilvl w:val="0"/>
          <w:numId w:val="3"/>
        </w:numPr>
      </w:pPr>
      <w:r>
        <w:t xml:space="preserve">Update README.md</w:t>
      </w:r>
    </w:p>
    <w:p>
      <w:pPr>
        <w:pStyle w:val="ListParagraph"/>
        <w:numPr>
          <w:ilvl w:val="0"/>
          <w:numId w:val="3"/>
        </w:numPr>
      </w:pPr>
      <w:r>
        <w:t xml:space="preserve">Update docs/mcp-quickstart.md</w:t>
      </w:r>
    </w:p>
    <w:p>
      <w:pPr>
        <w:pStyle w:val="ListParagraph"/>
        <w:numPr>
          <w:ilvl w:val="0"/>
          <w:numId w:val="3"/>
        </w:numPr>
      </w:pPr>
      <w:r>
        <w:t xml:space="preserve">Update example configs</w:t>
      </w:r>
    </w:p>
    <w:p>
      <w:pPr>
        <w:pStyle w:val="Heading1"/>
      </w:pPr>
      <w:r>
        <w:t xml:space="preserve">New CLI Interface</w:t>
      </w:r>
    </w:p>
    <w:p>
      <w:pPr>
        <w:spacing w:after="80"/>
      </w:pPr>
      <w:r>
        <w:rPr>
          <w:b/>
          <w:bCs/>
        </w:rPr>
        <w:t xml:space="preserve">Installation: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assay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cargo install assay</w:t>
      </w:r>
    </w:p>
    <w:p>
      <w:pPr>
        <w:spacing w:before="200" w:after="80"/>
      </w:pPr>
      <w:r>
        <w:rPr>
          <w:b/>
          <w:bCs/>
        </w:rPr>
        <w:t xml:space="preserve">Commands: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assay run --config eval.yaml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assay ci --baseline main --output sarif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assay import --format mcp-inspector session.json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assay replay --trace traces/incident.jsonl</w:t>
      </w:r>
    </w:p>
    <w:p>
      <w:pPr>
        <w:pStyle w:val="Heading1"/>
      </w:pPr>
      <w:r>
        <w:t xml:space="preserve">Consequences</w:t>
      </w:r>
    </w:p>
    <w:p>
      <w:pPr>
        <w:pStyle w:val="Heading2"/>
      </w:pPr>
      <w:r>
        <w:t xml:space="preserve">Positive</w:t>
      </w:r>
    </w:p>
    <w:p>
      <w:pPr>
        <w:pStyle w:val="ListParagraph"/>
        <w:numPr>
          <w:ilvl w:val="0"/>
          <w:numId w:val="2"/>
        </w:numPr>
      </w:pPr>
      <w:r>
        <w:t xml:space="preserve">Clean namespace on all major registries</w:t>
      </w:r>
    </w:p>
    <w:p>
      <w:pPr>
        <w:pStyle w:val="ListParagraph"/>
        <w:numPr>
          <w:ilvl w:val="0"/>
          <w:numId w:val="2"/>
        </w:numPr>
      </w:pPr>
      <w:r>
        <w:t xml:space="preserve">No confusion with existing tools</w:t>
      </w:r>
    </w:p>
    <w:p>
      <w:pPr>
        <w:pStyle w:val="ListParagraph"/>
        <w:numPr>
          <w:ilvl w:val="0"/>
          <w:numId w:val="2"/>
        </w:numPr>
      </w:pPr>
      <w:r>
        <w:t xml:space="preserve">Professional, scientific branding</w:t>
      </w:r>
    </w:p>
    <w:p>
      <w:pPr>
        <w:pStyle w:val="ListParagraph"/>
        <w:numPr>
          <w:ilvl w:val="0"/>
          <w:numId w:val="2"/>
        </w:numPr>
      </w:pPr>
      <w:r>
        <w:t xml:space="preserve">Better SEO (unique term in LLM tooling space)</w:t>
      </w:r>
    </w:p>
    <w:p>
      <w:pPr>
        <w:pStyle w:val="Heading2"/>
      </w:pPr>
      <w:r>
        <w:t xml:space="preserve">Negative</w:t>
      </w:r>
    </w:p>
    <w:p>
      <w:pPr>
        <w:pStyle w:val="ListParagraph"/>
        <w:numPr>
          <w:ilvl w:val="0"/>
          <w:numId w:val="2"/>
        </w:numPr>
      </w:pPr>
      <w:r>
        <w:t xml:space="preserve">One-time rename effort</w:t>
      </w:r>
    </w:p>
    <w:p>
      <w:pPr>
        <w:pStyle w:val="ListParagraph"/>
        <w:numPr>
          <w:ilvl w:val="0"/>
          <w:numId w:val="2"/>
        </w:numPr>
      </w:pPr>
      <w:r>
        <w:t xml:space="preserve">Any early adopters need to update references</w:t>
      </w:r>
    </w:p>
    <w:p>
      <w:pPr>
        <w:pStyle w:val="Heading2"/>
      </w:pPr>
      <w:r>
        <w:t xml:space="preserve">Neutral</w:t>
      </w:r>
    </w:p>
    <w:p>
      <w:pPr>
        <w:pStyle w:val="ListParagraph"/>
        <w:numPr>
          <w:ilvl w:val="0"/>
          <w:numId w:val="2"/>
        </w:numPr>
      </w:pPr>
      <w:r>
        <w:t xml:space="preserve">"Assay" is less commonly known than "verdict" — but this also means less competition</w:t>
      </w:r>
    </w:p>
    <w:p>
      <w:pPr>
        <w:pStyle w:val="Heading1"/>
      </w:pPr>
      <w:r>
        <w:t xml:space="preserve">Branding Guidelines</w:t>
      </w:r>
    </w:p>
    <w:p>
      <w:pPr>
        <w:spacing w:after="80"/>
      </w:pPr>
      <w:r>
        <w:rPr>
          <w:b/>
          <w:bCs/>
        </w:rPr>
        <w:t xml:space="preserve">Tagline options:</w:t>
      </w:r>
    </w:p>
    <w:p>
      <w:pPr>
        <w:pStyle w:val="ListParagraph"/>
        <w:numPr>
          <w:ilvl w:val="0"/>
          <w:numId w:val="2"/>
        </w:numPr>
      </w:pPr>
      <w:r>
        <w:t xml:space="preserve">"Assay: Quality testing for LLM outputs"</w:t>
      </w:r>
    </w:p>
    <w:p>
      <w:pPr>
        <w:pStyle w:val="ListParagraph"/>
        <w:numPr>
          <w:ilvl w:val="0"/>
          <w:numId w:val="2"/>
        </w:numPr>
      </w:pPr>
      <w:r>
        <w:t xml:space="preserve">"Assay: The purity test for AI"</w:t>
      </w:r>
    </w:p>
    <w:p>
      <w:pPr>
        <w:pStyle w:val="ListParagraph"/>
        <w:numPr>
          <w:ilvl w:val="0"/>
          <w:numId w:val="2"/>
        </w:numPr>
      </w:pPr>
      <w:r>
        <w:t xml:space="preserve">"Assay: CI gates for LLM reliability"</w:t>
      </w:r>
    </w:p>
    <w:p>
      <w:pPr>
        <w:spacing w:before="200" w:after="120"/>
      </w:pPr>
      <w:r>
        <w:rPr>
          <w:b/>
          <w:bCs/>
        </w:rPr>
        <w:t xml:space="preserve">Logo concept: </w:t>
      </w:r>
      <w:r>
        <w:t xml:space="preserve">A stylized crucible or balance scale, evoking the metallurgical origins of "assay" — precision testing for precious materials.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Assay — Architecture Decision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a1a1a"/>
      <w:sz w:val="48"/>
      <w:szCs w:val="48"/>
    </w:rPr>
  </w:style>
  <w:style w:type="paragraph" w:styleId="Heading1">
    <w:name w:val="Heading 1"/>
    <w:basedOn w:val="Normal"/>
    <w:pPr>
      <w:spacing w:before="400" w:after="200"/>
    </w:pPr>
    <w:rPr>
      <w:b/>
      <w:bCs/>
      <w:color w:val="2c3e50"/>
      <w:sz w:val="32"/>
      <w:szCs w:val="32"/>
    </w:rPr>
  </w:style>
  <w:style w:type="paragraph" w:styleId="Heading2">
    <w:name w:val="Heading 2"/>
    <w:basedOn w:val="Normal"/>
    <w:pPr>
      <w:spacing w:before="300" w:after="150"/>
    </w:pPr>
    <w:rPr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2025-12-24T08:03:35.382Z</dcterms:created>
  <dcterms:modified xsi:type="dcterms:W3CDTF">2025-12-24T08:03:35.383Z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