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40" w:lineRule="auto"/>
        <w:ind w:firstLine="0"/>
        <w:jc w:val="center"/>
      </w:pPr>
      <w:r>
        <w:rPr>
          <w:rFonts w:ascii="Times New Roman" w:hAnsi="Times New Roman" w:eastAsia="黑体"/>
          <w:b/>
          <w:sz w:val="40"/>
        </w:rPr>
        <w:t>信号处理软件研制任务书</w:t>
      </w:r>
    </w:p>
    <w:p>
      <w:pPr>
        <w:pStyle w:val="Heading2"/>
        <w:spacing w:before="240" w:after="120" w:line="288" w:lineRule="auto"/>
        <w:ind w:firstLine="0"/>
      </w:pPr>
      <w:r>
        <w:rPr>
          <w:rFonts w:ascii="Times New Roman" w:hAnsi="Times New Roman" w:eastAsia="黑体"/>
          <w:b/>
          <w:sz w:val="28"/>
        </w:rPr>
        <w:t>1 范围</w:t>
      </w:r>
    </w:p>
    <w:p>
      <w:pPr>
        <w:pStyle w:val="Heading3"/>
        <w:spacing w:before="120" w:after="120" w:line="288" w:lineRule="auto"/>
        <w:ind w:firstLine="0"/>
      </w:pPr>
      <w:r>
        <w:rPr>
          <w:rFonts w:ascii="Times New Roman" w:hAnsi="Times New Roman" w:eastAsia="黑体"/>
          <w:b/>
          <w:sz w:val="26"/>
        </w:rPr>
        <w:t>1.1 标识</w:t>
      </w:r>
    </w:p>
    <w:p>
      <w:pPr>
        <w:pStyle w:val="ListNumber"/>
        <w:spacing w:before="0" w:after="60" w:line="324" w:lineRule="auto"/>
        <w:ind w:left="420" w:firstLine="0"/>
      </w:pPr>
      <w:r>
        <w:rPr>
          <w:rFonts w:ascii="Times New Roman" w:hAnsi="Times New Roman" w:eastAsia="宋体"/>
          <w:b w:val="0"/>
          <w:i w:val="0"/>
          <w:sz w:val="24"/>
        </w:rPr>
        <w:t>所属单元与系统：QDGZ300 单元（信号处理系统）。</w:t>
      </w:r>
    </w:p>
    <w:p>
      <w:pPr>
        <w:pStyle w:val="ListNumber"/>
        <w:spacing w:before="0" w:after="60" w:line="324" w:lineRule="auto"/>
        <w:ind w:left="420" w:firstLine="0"/>
      </w:pPr>
      <w:r>
        <w:rPr>
          <w:rFonts w:ascii="Times New Roman" w:hAnsi="Times New Roman" w:eastAsia="宋体"/>
          <w:b w:val="0"/>
          <w:i w:val="0"/>
          <w:sz w:val="24"/>
        </w:rPr>
        <w:t>系统名称和标识：信号数据综合处理机 PZ122。</w:t>
      </w:r>
    </w:p>
    <w:p>
      <w:pPr>
        <w:pStyle w:val="ListNumber"/>
        <w:spacing w:before="0" w:after="60" w:line="324" w:lineRule="auto"/>
        <w:ind w:left="420" w:firstLine="0"/>
      </w:pPr>
      <w:r>
        <w:rPr>
          <w:rFonts w:ascii="Times New Roman" w:hAnsi="Times New Roman" w:eastAsia="宋体"/>
          <w:b w:val="0"/>
          <w:i w:val="0"/>
          <w:sz w:val="24"/>
        </w:rPr>
        <w:t>软件名称和标识：QDGZ300 单元（信号处理系统）信号处理软件，XX/PZ120/信号处理软件，R/XX/XC-1。</w:t>
      </w:r>
    </w:p>
    <w:p>
      <w:pPr>
        <w:pStyle w:val="ListNumber"/>
        <w:spacing w:before="0" w:after="60" w:line="324" w:lineRule="auto"/>
        <w:ind w:left="420" w:firstLine="0"/>
      </w:pPr>
      <w:r>
        <w:rPr>
          <w:rFonts w:ascii="Times New Roman" w:hAnsi="Times New Roman" w:eastAsia="宋体"/>
          <w:b w:val="0"/>
          <w:i w:val="0"/>
          <w:sz w:val="24"/>
        </w:rPr>
        <w:t>本文档名称和标识：XX/PZ120/信号处理软件研制任务书，JR2.483.1003RW。</w:t>
      </w:r>
    </w:p>
    <w:p>
      <w:pPr>
        <w:pStyle w:val="ListNumber"/>
        <w:spacing w:before="0" w:after="60" w:line="324" w:lineRule="auto"/>
        <w:ind w:left="420" w:firstLine="0"/>
      </w:pPr>
      <w:r>
        <w:rPr>
          <w:rFonts w:ascii="Times New Roman" w:hAnsi="Times New Roman" w:eastAsia="宋体"/>
          <w:b w:val="0"/>
          <w:i w:val="0"/>
          <w:sz w:val="24"/>
        </w:rPr>
        <w:t>缩略语：本文所称“信号处理软件”，特指 QDGZ300 单元（信号处理系统）中的服务器侧信号处理软件配置项。</w:t>
      </w:r>
    </w:p>
    <w:p>
      <w:pPr>
        <w:pStyle w:val="Heading3"/>
        <w:spacing w:before="120" w:after="120" w:line="288" w:lineRule="auto"/>
        <w:ind w:firstLine="0"/>
      </w:pPr>
      <w:r>
        <w:rPr>
          <w:rFonts w:ascii="Times New Roman" w:hAnsi="Times New Roman" w:eastAsia="黑体"/>
          <w:b/>
          <w:sz w:val="26"/>
        </w:rPr>
        <w:t>1.2 系统概述</w:t>
      </w:r>
    </w:p>
    <w:p>
      <w:pPr>
        <w:pStyle w:val="Heading4"/>
        <w:spacing w:before="120" w:after="120" w:line="288" w:lineRule="auto"/>
        <w:ind w:firstLine="0"/>
      </w:pPr>
      <w:r>
        <w:rPr>
          <w:rFonts w:ascii="Times New Roman" w:hAnsi="Times New Roman" w:eastAsia="黑体"/>
          <w:b/>
          <w:sz w:val="24"/>
        </w:rPr>
        <w:t>1.2.1 系统/分系统用途</w:t>
      </w:r>
    </w:p>
    <w:p>
      <w:pPr>
        <w:spacing w:before="0" w:after="120" w:line="360" w:lineRule="auto"/>
        <w:ind w:firstLine="420"/>
      </w:pPr>
      <w:r>
        <w:rPr>
          <w:rFonts w:ascii="Times New Roman" w:hAnsi="Times New Roman" w:eastAsia="宋体"/>
          <w:b w:val="0"/>
          <w:i w:val="0"/>
          <w:sz w:val="24"/>
        </w:rPr>
        <w:t>QDGZ300 单元（信号处理系统）用于三阵面雷达系统的服务器侧实时信号处理。系统由前端阵面/FPGA、服务器和显控组成。前端负责采样、组包、执行表装载与生效；服务器负责数据处理和控制协调；显控负责任务输入、状态显示和人工干预。</w:t>
      </w:r>
    </w:p>
    <w:p>
      <w:pPr>
        <w:spacing w:before="0" w:after="120" w:line="360" w:lineRule="auto"/>
        <w:ind w:firstLine="420"/>
      </w:pPr>
      <w:r>
        <w:rPr>
          <w:rFonts w:ascii="Times New Roman" w:hAnsi="Times New Roman" w:eastAsia="宋体"/>
          <w:b w:val="0"/>
          <w:i w:val="0"/>
          <w:sz w:val="24"/>
        </w:rPr>
        <w:t>服务器侧分为数据面和控制面。数据面负责原始数据接收、重组、信号处理和后续数据处理；控制面负责显控接入、任务调度、时基管理、执行表下发以及接收确认（RxAck）、生效确认（ApplyAck）、遥测和状态汇聚。</w:t>
      </w:r>
    </w:p>
    <w:p>
      <w:pPr>
        <w:pStyle w:val="Heading4"/>
        <w:spacing w:before="120" w:after="120" w:line="288" w:lineRule="auto"/>
        <w:ind w:firstLine="0"/>
      </w:pPr>
      <w:r>
        <w:rPr>
          <w:rFonts w:ascii="Times New Roman" w:hAnsi="Times New Roman" w:eastAsia="黑体"/>
          <w:b/>
          <w:sz w:val="24"/>
        </w:rPr>
        <w:t>1.2.2 本软件的研制对象</w:t>
      </w:r>
    </w:p>
    <w:p>
      <w:pPr>
        <w:spacing w:before="0" w:after="120" w:line="360" w:lineRule="auto"/>
        <w:ind w:firstLine="420"/>
      </w:pPr>
      <w:r>
        <w:rPr>
          <w:rFonts w:ascii="Times New Roman" w:hAnsi="Times New Roman" w:eastAsia="宋体"/>
          <w:b w:val="0"/>
          <w:i w:val="0"/>
          <w:sz w:val="24"/>
        </w:rPr>
        <w:t>本任务书的研制对象为 QDGZ300 单元（信号处理系统）中的服务器侧信号处理软件配置项。该软件部署在服务器数据面，面向前端阵面/FPGA 上送的原始 UDP 数据流开展信号处理。</w:t>
      </w:r>
    </w:p>
    <w:p>
      <w:pPr>
        <w:spacing w:before="0" w:after="120" w:line="360" w:lineRule="auto"/>
        <w:ind w:firstLine="420"/>
      </w:pPr>
      <w:r>
        <w:rPr>
          <w:rFonts w:ascii="Times New Roman" w:hAnsi="Times New Roman" w:eastAsia="宋体"/>
          <w:b w:val="0"/>
          <w:i w:val="0"/>
          <w:sz w:val="24"/>
        </w:rPr>
        <w:t>本软件主要完成三阵面原始数据接收后的信号级处理，包括 CPI 级完整处理数据单元（以下简称“完整 CPI 数据单元”）消费、运行参数快照（以下简称“参数快照”）使用、数字下变频、波束形成、脉压、杂波抑制、目标检测、目标参数提取、结果输出以及与录制回放链路的协同。</w:t>
      </w:r>
    </w:p>
    <w:p>
      <w:pPr>
        <w:pStyle w:val="Heading4"/>
        <w:spacing w:before="120" w:after="120" w:line="288" w:lineRule="auto"/>
        <w:ind w:firstLine="0"/>
      </w:pPr>
      <w:r>
        <w:rPr>
          <w:rFonts w:ascii="Times New Roman" w:hAnsi="Times New Roman" w:eastAsia="黑体"/>
          <w:b/>
          <w:sz w:val="24"/>
        </w:rPr>
        <w:t>1.2.3 本软件在系统中的位置</w:t>
      </w:r>
    </w:p>
    <w:p>
      <w:pPr>
        <w:spacing w:before="0" w:after="120" w:line="360" w:lineRule="auto"/>
        <w:ind w:firstLine="420"/>
      </w:pPr>
      <w:r>
        <w:rPr>
          <w:rFonts w:ascii="Times New Roman" w:hAnsi="Times New Roman" w:eastAsia="宋体"/>
          <w:b w:val="0"/>
          <w:i w:val="0"/>
          <w:sz w:val="24"/>
        </w:rPr>
        <w:t>本软件位于“前端阵面/FPGA → 信号处理 → 后续数据处理/目标跟踪 → 显控/发布”的主业务链中，处于服务器数据面内部，承担从原始 UDP 数据接收、重组、解析到信号级算法处理的连续职责，并向数据处理与目标跟踪模块提供标准输出。</w:t>
      </w:r>
    </w:p>
    <w:p>
      <w:pPr>
        <w:spacing w:before="0" w:after="120" w:line="360" w:lineRule="auto"/>
        <w:ind w:firstLine="420"/>
      </w:pPr>
      <w:r>
        <w:rPr>
          <w:rFonts w:ascii="Times New Roman" w:hAnsi="Times New Roman" w:eastAsia="宋体"/>
          <w:b w:val="0"/>
          <w:i w:val="0"/>
          <w:sz w:val="24"/>
        </w:rPr>
        <w:t>服务器内部按 NUMA 节点 1（Node1）和 NUMA 节点 0（Node0）分工部署：NUMA 节点 1 承担实时数据面，部署接收模块、信号处理模块和数据处理模块；NUMA 节点 0 承担控制面和基础支撑功能，部署任务调度、显控接入、状态汇聚以及录制转存等功能。本软件部署于 NUMA 节点 1，并通过完整 CPI 数据单元、参数快照和结果对象与接收模块、数据处理与目标跟踪模块协同。</w:t>
      </w:r>
    </w:p>
    <w:p>
      <w:pPr>
        <w:spacing w:before="0" w:after="120" w:line="360" w:lineRule="auto"/>
        <w:ind w:firstLine="420"/>
      </w:pPr>
      <w:r>
        <w:rPr>
          <w:rFonts w:ascii="Times New Roman" w:hAnsi="Times New Roman" w:eastAsia="宋体"/>
          <w:b w:val="0"/>
          <w:i w:val="0"/>
          <w:sz w:val="24"/>
        </w:rPr>
        <w:t>本软件直接处理上行原始数据及与当前数据单元关联的运行上下文；调度执行表、管理/应急命令、接收确认、生效确认、遥测/状态和时基边界事件通过系统其他模块传递和维护。</w:t>
      </w:r>
    </w:p>
    <w:p>
      <w:pPr>
        <w:pStyle w:val="Heading4"/>
        <w:spacing w:before="120" w:after="120" w:line="288" w:lineRule="auto"/>
        <w:ind w:firstLine="0"/>
      </w:pPr>
      <w:r>
        <w:rPr>
          <w:rFonts w:ascii="Times New Roman" w:hAnsi="Times New Roman" w:eastAsia="黑体"/>
          <w:b/>
          <w:sz w:val="24"/>
        </w:rPr>
        <w:t>1.2.4 相关方（需方、用户、承制方）</w:t>
      </w:r>
    </w:p>
    <w:p>
      <w:pPr>
        <w:pStyle w:val="ListNumber"/>
        <w:spacing w:before="0" w:after="60" w:line="324" w:lineRule="auto"/>
        <w:ind w:left="420" w:firstLine="0"/>
      </w:pPr>
      <w:r>
        <w:rPr>
          <w:rFonts w:ascii="Times New Roman" w:hAnsi="Times New Roman" w:eastAsia="宋体"/>
          <w:b w:val="0"/>
          <w:i w:val="0"/>
          <w:sz w:val="24"/>
        </w:rPr>
        <w:t>需方：按项目总体管理要求确定。</w:t>
      </w:r>
    </w:p>
    <w:p>
      <w:pPr>
        <w:pStyle w:val="ListNumber"/>
        <w:spacing w:before="0" w:after="60" w:line="324" w:lineRule="auto"/>
        <w:ind w:left="420" w:firstLine="0"/>
      </w:pPr>
      <w:r>
        <w:rPr>
          <w:rFonts w:ascii="Times New Roman" w:hAnsi="Times New Roman" w:eastAsia="宋体"/>
          <w:b w:val="0"/>
          <w:i w:val="0"/>
          <w:sz w:val="24"/>
        </w:rPr>
        <w:t>用户：xxx。</w:t>
      </w:r>
    </w:p>
    <w:p>
      <w:pPr>
        <w:pStyle w:val="ListNumber"/>
        <w:spacing w:before="0" w:after="60" w:line="324" w:lineRule="auto"/>
        <w:ind w:left="420" w:firstLine="0"/>
      </w:pPr>
      <w:r>
        <w:rPr>
          <w:rFonts w:ascii="Times New Roman" w:hAnsi="Times New Roman" w:eastAsia="宋体"/>
          <w:b w:val="0"/>
          <w:i w:val="0"/>
          <w:sz w:val="24"/>
        </w:rPr>
        <w:t>承制方/开发方：xxx。</w:t>
      </w:r>
    </w:p>
    <w:p>
      <w:pPr>
        <w:spacing w:before="60" w:after="60" w:line="240" w:lineRule="auto"/>
        <w:ind w:firstLine="0"/>
        <w:pBdr>
          <w:bottom w:val="single" w:sz="6" w:space="1" w:color="auto"/>
        </w:pBdr>
      </w:pPr>
    </w:p>
    <w:p>
      <w:pPr>
        <w:pStyle w:val="Heading3"/>
        <w:spacing w:before="120" w:after="120" w:line="288" w:lineRule="auto"/>
        <w:ind w:firstLine="0"/>
      </w:pPr>
      <w:r>
        <w:rPr>
          <w:rFonts w:ascii="Times New Roman" w:hAnsi="Times New Roman" w:eastAsia="黑体"/>
          <w:b/>
          <w:sz w:val="26"/>
        </w:rPr>
        <w:t>1.3 文档概述</w:t>
      </w:r>
    </w:p>
    <w:p>
      <w:pPr>
        <w:spacing w:before="0" w:after="120" w:line="360" w:lineRule="auto"/>
        <w:ind w:firstLine="420"/>
      </w:pPr>
      <w:r>
        <w:rPr>
          <w:rFonts w:ascii="Times New Roman" w:hAnsi="Times New Roman" w:eastAsia="宋体"/>
          <w:b w:val="0"/>
          <w:i w:val="0"/>
          <w:sz w:val="24"/>
        </w:rPr>
        <w:t>本文档作为 QDGZ300 单元（信号处理系统）服务器侧信号处理软件研制、设计、实现、测试、审查、验收和交付的原始依据，规定本软件的定位、职责、功能、算法、数据、时序、接口、性能以及质量控制要求。</w:t>
      </w:r>
    </w:p>
    <w:p>
      <w:pPr>
        <w:spacing w:before="0" w:after="120" w:line="360" w:lineRule="auto"/>
        <w:ind w:firstLine="420"/>
      </w:pPr>
      <w:r>
        <w:rPr>
          <w:rFonts w:ascii="Times New Roman" w:hAnsi="Times New Roman" w:eastAsia="宋体"/>
          <w:b w:val="0"/>
          <w:i w:val="0"/>
          <w:sz w:val="24"/>
        </w:rPr>
        <w:t>本文档主要用于以下工作：</w:t>
      </w:r>
    </w:p>
    <w:p>
      <w:pPr>
        <w:pStyle w:val="ListNumber"/>
        <w:spacing w:before="0" w:after="60" w:line="324" w:lineRule="auto"/>
        <w:ind w:left="420" w:firstLine="0"/>
      </w:pPr>
      <w:r>
        <w:rPr>
          <w:rFonts w:ascii="Times New Roman" w:hAnsi="Times New Roman" w:eastAsia="宋体"/>
          <w:b w:val="0"/>
          <w:i w:val="0"/>
          <w:sz w:val="24"/>
        </w:rPr>
        <w:t>作为本软件立项、分解、研制和验证的任务依据；</w:t>
      </w:r>
    </w:p>
    <w:p>
      <w:pPr>
        <w:pStyle w:val="ListNumber"/>
        <w:spacing w:before="0" w:after="60" w:line="324" w:lineRule="auto"/>
        <w:ind w:left="420" w:firstLine="0"/>
      </w:pPr>
      <w:r>
        <w:rPr>
          <w:rFonts w:ascii="Times New Roman" w:hAnsi="Times New Roman" w:eastAsia="宋体"/>
          <w:b w:val="0"/>
          <w:i w:val="0"/>
          <w:sz w:val="24"/>
        </w:rPr>
        <w:t>作为软件需求分析、体系结构设计、详细设计、编码实现和测试验证的输入依据；</w:t>
      </w:r>
    </w:p>
    <w:p>
      <w:pPr>
        <w:pStyle w:val="ListNumber"/>
        <w:spacing w:before="0" w:after="60" w:line="324" w:lineRule="auto"/>
        <w:ind w:left="420" w:firstLine="0"/>
      </w:pPr>
      <w:r>
        <w:rPr>
          <w:rFonts w:ascii="Times New Roman" w:hAnsi="Times New Roman" w:eastAsia="宋体"/>
          <w:b w:val="0"/>
          <w:i w:val="0"/>
          <w:sz w:val="24"/>
        </w:rPr>
        <w:t>作为与前端阵面/FPGA、任务调度、数据处理与目标跟踪、显控及基础设施相关模块进行接口协同和边界约束的统一依据；</w:t>
      </w:r>
    </w:p>
    <w:p>
      <w:pPr>
        <w:pStyle w:val="ListNumber"/>
        <w:spacing w:before="0" w:after="60" w:line="324" w:lineRule="auto"/>
        <w:ind w:left="420" w:firstLine="0"/>
      </w:pPr>
      <w:r>
        <w:rPr>
          <w:rFonts w:ascii="Times New Roman" w:hAnsi="Times New Roman" w:eastAsia="宋体"/>
          <w:b w:val="0"/>
          <w:i w:val="0"/>
          <w:sz w:val="24"/>
        </w:rPr>
        <w:t>作为项目评审、质量控制、验收判据和交付管理的正式依据。</w:t>
      </w:r>
    </w:p>
    <w:p>
      <w:pPr>
        <w:spacing w:before="0" w:after="120" w:line="360" w:lineRule="auto"/>
        <w:ind w:firstLine="420"/>
      </w:pPr>
      <w:r>
        <w:rPr>
          <w:rFonts w:ascii="Times New Roman" w:hAnsi="Times New Roman" w:eastAsia="宋体"/>
          <w:b w:val="0"/>
          <w:i w:val="0"/>
          <w:sz w:val="24"/>
        </w:rPr>
        <w:t>本文档内容包括研制范围、引用和依据文件、系统背景与运行环境、软件定位与职责边界、功能要求、算法处理要求、数据与时序运行机制、接口要求、设计与实现约束、质量控制与验证要求、验收与交付要求、软件保障要求以及进度与里程碑等内容。</w:t>
      </w:r>
    </w:p>
    <w:p>
      <w:pPr>
        <w:spacing w:before="0" w:after="120" w:line="360" w:lineRule="auto"/>
        <w:ind w:firstLine="420"/>
      </w:pPr>
      <w:r>
        <w:rPr>
          <w:rFonts w:ascii="Times New Roman" w:hAnsi="Times New Roman" w:eastAsia="宋体"/>
          <w:b w:val="0"/>
          <w:i w:val="0"/>
          <w:sz w:val="24"/>
        </w:rPr>
        <w:t>后续软件需求规格说明、软件设计说明、接口协议说明和测试说明应在本任务书基础上进一步展开具体实现内容。</w:t>
      </w:r>
    </w:p>
    <w:p>
      <w:pPr>
        <w:spacing w:before="60" w:after="60" w:line="240" w:lineRule="auto"/>
        <w:ind w:firstLine="0"/>
        <w:pBdr>
          <w:bottom w:val="single" w:sz="6" w:space="1" w:color="auto"/>
        </w:pBdr>
      </w:pPr>
    </w:p>
    <w:p>
      <w:pPr>
        <w:pStyle w:val="Heading2"/>
        <w:spacing w:before="240" w:after="120" w:line="288" w:lineRule="auto"/>
        <w:ind w:firstLine="0"/>
      </w:pPr>
      <w:r>
        <w:rPr>
          <w:rFonts w:ascii="Times New Roman" w:hAnsi="Times New Roman" w:eastAsia="黑体"/>
          <w:b/>
          <w:sz w:val="28"/>
        </w:rPr>
        <w:t>2 引用和依据文件</w:t>
      </w:r>
    </w:p>
    <w:p>
      <w:pPr>
        <w:pStyle w:val="Heading3"/>
        <w:spacing w:before="120" w:after="120" w:line="288" w:lineRule="auto"/>
        <w:ind w:firstLine="0"/>
      </w:pPr>
      <w:r>
        <w:rPr>
          <w:rFonts w:ascii="Times New Roman" w:hAnsi="Times New Roman" w:eastAsia="黑体"/>
          <w:b/>
          <w:sz w:val="26"/>
        </w:rPr>
        <w:t>2.1 规范性引用文件</w:t>
      </w:r>
    </w:p>
    <w:p>
      <w:pPr>
        <w:spacing w:before="0" w:after="120" w:line="360" w:lineRule="auto"/>
        <w:ind w:firstLine="420"/>
      </w:pPr>
      <w:r>
        <w:rPr>
          <w:rFonts w:ascii="Times New Roman" w:hAnsi="Times New Roman" w:eastAsia="宋体"/>
          <w:b w:val="0"/>
          <w:i w:val="0"/>
          <w:sz w:val="24"/>
        </w:rPr>
        <w:t>下列文件通过本任务书的引用而成为本任务书的组成部分。凡注明日期的引用文件，仅所注日期的版本适用于本任务书；凡未注明日期的引用文件，其现行受控版本适用于本任务书。</w:t>
      </w:r>
    </w:p>
    <w:p>
      <w:pPr>
        <w:pStyle w:val="Heading4"/>
        <w:spacing w:before="120" w:after="120" w:line="288" w:lineRule="auto"/>
        <w:ind w:firstLine="0"/>
      </w:pPr>
      <w:r>
        <w:rPr>
          <w:rFonts w:ascii="Times New Roman" w:hAnsi="Times New Roman" w:eastAsia="黑体"/>
          <w:b/>
          <w:sz w:val="24"/>
        </w:rPr>
        <w:t>表 2-1 规范性引用文件</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序号</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标识</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文档名称</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版本</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发布日期</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来源</w:t>
            </w:r>
          </w:p>
        </w:tc>
      </w:tr>
      <w:tr>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QG/JR500-2017</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软件过程管理体系</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2.5.0</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2017.1</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786厂</w:t>
            </w:r>
          </w:p>
        </w:tc>
      </w:tr>
      <w:tr>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JR1.236.1000DG12</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XX雷达软件产品规范</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V1.00.00 / 2017年5月10日</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2017.5</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786厂</w:t>
            </w:r>
          </w:p>
        </w:tc>
      </w:tr>
      <w:tr>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3</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JR1.236.1000RS02</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XX雷达软件数据表</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V1.00.00 / 2017年4月25日</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2017.4</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786厂</w:t>
            </w:r>
          </w:p>
        </w:tc>
      </w:tr>
    </w:tbl>
    <w:p/>
    <w:p>
      <w:pPr>
        <w:pStyle w:val="Heading3"/>
        <w:spacing w:before="120" w:after="120" w:line="288" w:lineRule="auto"/>
        <w:ind w:firstLine="0"/>
      </w:pPr>
      <w:r>
        <w:rPr>
          <w:rFonts w:ascii="Times New Roman" w:hAnsi="Times New Roman" w:eastAsia="黑体"/>
          <w:b/>
          <w:sz w:val="26"/>
        </w:rPr>
        <w:t>2.2 参考文件</w:t>
      </w:r>
    </w:p>
    <w:p>
      <w:pPr>
        <w:spacing w:before="0" w:after="120" w:line="360" w:lineRule="auto"/>
        <w:ind w:firstLine="420"/>
      </w:pPr>
      <w:r>
        <w:rPr>
          <w:rFonts w:ascii="Times New Roman" w:hAnsi="Times New Roman" w:eastAsia="宋体"/>
          <w:b w:val="0"/>
          <w:i w:val="0"/>
          <w:sz w:val="24"/>
        </w:rPr>
        <w:t>下列文件供方案设计、背景理解和项目内部协同参考使用。</w:t>
      </w:r>
    </w:p>
    <w:p>
      <w:pPr>
        <w:pStyle w:val="Heading4"/>
        <w:spacing w:before="120" w:after="120" w:line="288" w:lineRule="auto"/>
        <w:ind w:firstLine="0"/>
      </w:pPr>
      <w:r>
        <w:rPr>
          <w:rFonts w:ascii="Times New Roman" w:hAnsi="Times New Roman" w:eastAsia="黑体"/>
          <w:b/>
          <w:sz w:val="24"/>
        </w:rPr>
        <w:t>表 2-2 参考文件</w:t>
      </w:r>
    </w:p>
    <w:tbl>
      <w:tblPr>
        <w:tblStyle w:val="TableGrid"/>
        <w:tblW w:type="auto" w:w="0"/>
        <w:tblLook w:firstColumn="1" w:firstRow="1" w:lastColumn="0" w:lastRow="0" w:noHBand="0" w:noVBand="1" w:val="04A0"/>
      </w:tblPr>
      <w:tblGrid>
        <w:gridCol w:w="1504"/>
        <w:gridCol w:w="1504"/>
        <w:gridCol w:w="1504"/>
        <w:gridCol w:w="1504"/>
        <w:gridCol w:w="1504"/>
        <w:gridCol w:w="1504"/>
      </w:tblGrid>
      <w:tr>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序号</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类别</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文档名称</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版本</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发布日期</w:t>
            </w:r>
          </w:p>
        </w:tc>
        <w:tc>
          <w:tcPr>
            <w:tcW w:type="dxa" w:w="1504"/>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来源</w:t>
            </w:r>
          </w:p>
        </w:tc>
      </w:tr>
      <w:tr>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项目参考文件</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雷达服务器与前端阵面协同架构设计参考</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v0.1</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当前受控版本</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项目组</w:t>
            </w:r>
          </w:p>
        </w:tc>
      </w:tr>
      <w:tr>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项目参考文件</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雷达项目上下文总览</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v0.3</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当前受控版本</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项目组</w:t>
            </w:r>
          </w:p>
        </w:tc>
      </w:tr>
      <w:tr>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3</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内部参考文件</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无硬件秒边界输入条件下的秒边界设计说明</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当前受控版本</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当前受控版本</w:t>
            </w:r>
          </w:p>
        </w:tc>
        <w:tc>
          <w:tcPr>
            <w:tcW w:type="dxa" w:w="1504"/>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项目组</w:t>
            </w:r>
          </w:p>
        </w:tc>
      </w:tr>
    </w:tbl>
    <w:p/>
    <w:p>
      <w:pPr>
        <w:pStyle w:val="Heading2"/>
        <w:spacing w:before="240" w:after="120" w:line="288" w:lineRule="auto"/>
        <w:ind w:firstLine="0"/>
      </w:pPr>
      <w:r>
        <w:rPr>
          <w:rFonts w:ascii="Times New Roman" w:hAnsi="Times New Roman" w:eastAsia="黑体"/>
          <w:b/>
          <w:sz w:val="28"/>
        </w:rPr>
        <w:t>3 系统背景与运行环境</w:t>
      </w:r>
    </w:p>
    <w:p>
      <w:pPr>
        <w:spacing w:before="60" w:after="60" w:line="240" w:lineRule="auto"/>
        <w:ind w:firstLine="0"/>
        <w:pBdr>
          <w:bottom w:val="single" w:sz="6" w:space="1" w:color="auto"/>
        </w:pBdr>
      </w:pPr>
    </w:p>
    <w:p>
      <w:pPr>
        <w:pStyle w:val="Heading3"/>
        <w:spacing w:before="120" w:after="120" w:line="288" w:lineRule="auto"/>
        <w:ind w:firstLine="0"/>
      </w:pPr>
      <w:r>
        <w:rPr>
          <w:rFonts w:ascii="Times New Roman" w:hAnsi="Times New Roman" w:eastAsia="黑体"/>
          <w:b/>
          <w:sz w:val="26"/>
        </w:rPr>
        <w:t>3.1 系统总体构成</w:t>
      </w:r>
    </w:p>
    <w:p>
      <w:pPr>
        <w:spacing w:before="0" w:after="120" w:line="360" w:lineRule="auto"/>
        <w:ind w:firstLine="420"/>
      </w:pPr>
      <w:r>
        <w:rPr>
          <w:rFonts w:ascii="Times New Roman" w:hAnsi="Times New Roman" w:eastAsia="宋体"/>
          <w:b w:val="0"/>
          <w:i w:val="0"/>
          <w:sz w:val="24"/>
        </w:rPr>
        <w:t>本系统由前端阵面/FPGA、服务器和显控组成。前端负责采样、组包、执行表装载与生效以及边界事件上报；服务器负责数据处理和控制协调；显控负责任务输入、状态显示和人工干预。</w:t>
      </w:r>
    </w:p>
    <w:p>
      <w:pPr>
        <w:spacing w:before="0" w:after="120" w:line="360" w:lineRule="auto"/>
        <w:ind w:firstLine="420"/>
      </w:pPr>
      <w:r>
        <w:rPr>
          <w:rFonts w:ascii="Times New Roman" w:hAnsi="Times New Roman" w:eastAsia="宋体"/>
          <w:b w:val="0"/>
          <w:i w:val="0"/>
          <w:sz w:val="24"/>
        </w:rPr>
        <w:t>系统可划分为以下几个主要组成部分：</w:t>
      </w:r>
    </w:p>
    <w:p>
      <w:pPr>
        <w:pStyle w:val="ListNumber"/>
        <w:spacing w:before="0" w:after="60" w:line="324" w:lineRule="auto"/>
        <w:ind w:left="420" w:firstLine="0"/>
      </w:pPr>
      <w:r>
        <w:rPr>
          <w:rFonts w:ascii="Times New Roman" w:hAnsi="Times New Roman" w:eastAsia="宋体"/>
          <w:b/>
          <w:i w:val="0"/>
          <w:sz w:val="24"/>
        </w:rPr>
        <w:t>前端阵面/FPGA 执行侧</w:t>
      </w:r>
      <w:r>
        <w:rPr>
          <w:rFonts w:ascii="Times New Roman" w:hAnsi="Times New Roman" w:eastAsia="宋体"/>
          <w:b w:val="0"/>
          <w:i w:val="0"/>
          <w:sz w:val="24"/>
        </w:rPr>
        <w:br/>
        <w:t xml:space="preserve">   负责原始雷达回波采样、原始数据组包、执行表装载与生效、边界事件识别以及接收确认、生效确认、遥测和状态回传，是贴近硬件执行的一侧；</w:t>
      </w:r>
    </w:p>
    <w:p>
      <w:pPr>
        <w:pStyle w:val="ListNumber"/>
        <w:spacing w:before="0" w:after="60" w:line="324" w:lineRule="auto"/>
        <w:ind w:left="420" w:firstLine="0"/>
      </w:pPr>
      <w:r>
        <w:rPr>
          <w:rFonts w:ascii="Times New Roman" w:hAnsi="Times New Roman" w:eastAsia="宋体"/>
          <w:b/>
          <w:i w:val="0"/>
          <w:sz w:val="24"/>
        </w:rPr>
        <w:t>服务器数据面</w:t>
      </w:r>
      <w:r>
        <w:rPr>
          <w:rFonts w:ascii="Times New Roman" w:hAnsi="Times New Roman" w:eastAsia="宋体"/>
          <w:b w:val="0"/>
          <w:i w:val="0"/>
          <w:sz w:val="24"/>
        </w:rPr>
        <w:br/>
        <w:t xml:space="preserve">   负责原始数据接收、重组、完整 CPI 数据单元形成、参数快照绑定与消费、信号处理、后续数据处理及结果生成，是系统实时主处理链所在部分；</w:t>
      </w:r>
    </w:p>
    <w:p>
      <w:pPr>
        <w:pStyle w:val="ListNumber"/>
        <w:spacing w:before="0" w:after="60" w:line="324" w:lineRule="auto"/>
        <w:ind w:left="420" w:firstLine="0"/>
      </w:pPr>
      <w:r>
        <w:rPr>
          <w:rFonts w:ascii="Times New Roman" w:hAnsi="Times New Roman" w:eastAsia="宋体"/>
          <w:b/>
          <w:i w:val="0"/>
          <w:sz w:val="24"/>
        </w:rPr>
        <w:t>服务器控制面</w:t>
      </w:r>
      <w:r>
        <w:rPr>
          <w:rFonts w:ascii="Times New Roman" w:hAnsi="Times New Roman" w:eastAsia="宋体"/>
          <w:b w:val="0"/>
          <w:i w:val="0"/>
          <w:sz w:val="24"/>
        </w:rPr>
        <w:br/>
        <w:t xml:space="preserve">   负责显控接入、时基管理、候选安排生成、任务调度定版、执行表下发、接收确认/生效确认/状态汇聚及系统级运行态管理；</w:t>
      </w:r>
    </w:p>
    <w:p>
      <w:pPr>
        <w:pStyle w:val="ListNumber"/>
        <w:spacing w:before="0" w:after="60" w:line="324" w:lineRule="auto"/>
        <w:ind w:left="420" w:firstLine="0"/>
      </w:pPr>
      <w:r>
        <w:rPr>
          <w:rFonts w:ascii="Times New Roman" w:hAnsi="Times New Roman" w:eastAsia="宋体"/>
          <w:b/>
          <w:i w:val="0"/>
          <w:sz w:val="24"/>
        </w:rPr>
        <w:t>显控软件</w:t>
      </w:r>
      <w:r>
        <w:rPr>
          <w:rFonts w:ascii="Times New Roman" w:hAnsi="Times New Roman" w:eastAsia="宋体"/>
          <w:b w:val="0"/>
          <w:i w:val="0"/>
          <w:sz w:val="24"/>
        </w:rPr>
        <w:br/>
        <w:t xml:space="preserve">   负责任务意图输入、状态显示、结果显示和人工干预，不直接参与信号处理主处理链；</w:t>
      </w:r>
    </w:p>
    <w:p>
      <w:pPr>
        <w:pStyle w:val="ListNumber"/>
        <w:spacing w:before="0" w:after="60" w:line="324" w:lineRule="auto"/>
        <w:ind w:left="420" w:firstLine="0"/>
      </w:pPr>
      <w:r>
        <w:rPr>
          <w:rFonts w:ascii="Times New Roman" w:hAnsi="Times New Roman" w:eastAsia="宋体"/>
          <w:b/>
          <w:i w:val="0"/>
          <w:sz w:val="24"/>
        </w:rPr>
        <w:t>基础支撑功能</w:t>
      </w:r>
      <w:r>
        <w:rPr>
          <w:rFonts w:ascii="Times New Roman" w:hAnsi="Times New Roman" w:eastAsia="宋体"/>
          <w:b w:val="0"/>
          <w:i w:val="0"/>
          <w:sz w:val="24"/>
        </w:rPr>
        <w:br/>
        <w:t xml:space="preserve">   为系统提供日志、监控、录制、回放、状态观测、配置与证据留存等通用支撑能力。</w:t>
      </w:r>
    </w:p>
    <w:p>
      <w:pPr>
        <w:spacing w:before="0" w:after="120" w:line="360" w:lineRule="auto"/>
        <w:ind w:firstLine="420"/>
      </w:pPr>
      <w:r>
        <w:rPr>
          <w:rFonts w:ascii="Times New Roman" w:hAnsi="Times New Roman" w:eastAsia="宋体"/>
          <w:b w:val="0"/>
          <w:i w:val="0"/>
          <w:sz w:val="24"/>
        </w:rPr>
        <w:t>当前系统包含 3 个固定阵面。每个阵面具备独立的前端采样与 FPGA 处理逻辑。前端 FPGA 负责接收 ADC 采样数据，按约定协议组织原始 UDP 数据包，并通过服务器 10G 光口上送至后端。服务器侧配置 4 口 10Gbps 全双工网卡，其中 3 个数据口分别对应 3 个阵面，1 个端口预留。上下行链路默认共用同一 10G 全双工物理链路。</w:t>
      </w:r>
    </w:p>
    <w:p>
      <w:pPr>
        <w:spacing w:before="0" w:after="120" w:line="360" w:lineRule="auto"/>
        <w:ind w:firstLine="420"/>
      </w:pPr>
      <w:r>
        <w:rPr>
          <w:rFonts w:ascii="Times New Roman" w:hAnsi="Times New Roman" w:eastAsia="宋体"/>
          <w:b w:val="0"/>
          <w:i w:val="0"/>
          <w:sz w:val="24"/>
        </w:rPr>
        <w:t>按部署基线，服务器为 ARM64 双 NUMA 平台，NUMA 节点 1（Node1）承担实时数据面，NUMA 节点 0（Node0）承担控制面与基础支撑功能。数据面主要部署接收模块、信号处理模块和数据处理模块；控制面主要部署任务调度、显控接入、状态汇聚和异步录制转存等功能。GPU 与 10G 网卡部署于 NUMA 节点 1。</w:t>
      </w:r>
    </w:p>
    <w:p>
      <w:pPr>
        <w:spacing w:before="0" w:after="120" w:line="360" w:lineRule="auto"/>
        <w:ind w:firstLine="420"/>
      </w:pPr>
      <w:r>
        <w:rPr>
          <w:rFonts w:ascii="Times New Roman" w:hAnsi="Times New Roman" w:eastAsia="宋体"/>
          <w:b w:val="0"/>
          <w:i w:val="0"/>
          <w:sz w:val="24"/>
        </w:rPr>
        <w:t>系统主业务链路可概括为：</w:t>
      </w:r>
    </w:p>
    <w:p>
      <w:pPr>
        <w:pStyle w:val="ListBullet"/>
        <w:spacing w:before="0" w:after="60" w:line="324" w:lineRule="auto"/>
        <w:ind w:left="420" w:firstLine="0"/>
      </w:pPr>
      <w:r>
        <w:rPr>
          <w:rFonts w:ascii="Times New Roman" w:hAnsi="Times New Roman" w:eastAsia="宋体"/>
          <w:b/>
          <w:i w:val="0"/>
          <w:sz w:val="24"/>
        </w:rPr>
        <w:t>上行数据主处理链</w:t>
      </w:r>
      <w:r>
        <w:rPr>
          <w:rFonts w:ascii="Times New Roman" w:hAnsi="Times New Roman" w:eastAsia="宋体"/>
          <w:b w:val="0"/>
          <w:i w:val="0"/>
          <w:sz w:val="24"/>
        </w:rPr>
        <w:t>：前端 ADC 采样 → FPGA 组包 → 原始 UDP 数据上送 → 服务器接收模块 → 完整 CPI 数据单元形成 → 信号处理软件 → 数据处理与目标跟踪软件；</w:t>
      </w:r>
    </w:p>
    <w:p>
      <w:pPr>
        <w:pStyle w:val="ListBullet"/>
        <w:spacing w:before="0" w:after="60" w:line="324" w:lineRule="auto"/>
        <w:ind w:left="420" w:firstLine="0"/>
      </w:pPr>
      <w:r>
        <w:rPr>
          <w:rFonts w:ascii="Times New Roman" w:hAnsi="Times New Roman" w:eastAsia="宋体"/>
          <w:b/>
          <w:i w:val="0"/>
          <w:sz w:val="24"/>
        </w:rPr>
        <w:t>下行控制主处理链</w:t>
      </w:r>
      <w:r>
        <w:rPr>
          <w:rFonts w:ascii="Times New Roman" w:hAnsi="Times New Roman" w:eastAsia="宋体"/>
          <w:b w:val="0"/>
          <w:i w:val="0"/>
          <w:sz w:val="24"/>
        </w:rPr>
        <w:t>：显控任务意图输入 → 服务器控制面 → 候选安排生成与调度定版 → 执行表下发至前端 → 前端执行并回传接收确认、生效确认、遥测和状态；</w:t>
      </w:r>
    </w:p>
    <w:p>
      <w:pPr>
        <w:pStyle w:val="ListBullet"/>
        <w:spacing w:before="0" w:after="60" w:line="324" w:lineRule="auto"/>
        <w:ind w:left="420" w:firstLine="0"/>
      </w:pPr>
      <w:r>
        <w:rPr>
          <w:rFonts w:ascii="Times New Roman" w:hAnsi="Times New Roman" w:eastAsia="宋体"/>
          <w:b/>
          <w:i w:val="0"/>
          <w:sz w:val="24"/>
        </w:rPr>
        <w:t>支撑与观测链路</w:t>
      </w:r>
      <w:r>
        <w:rPr>
          <w:rFonts w:ascii="Times New Roman" w:hAnsi="Times New Roman" w:eastAsia="宋体"/>
          <w:b w:val="0"/>
          <w:i w:val="0"/>
          <w:sz w:val="24"/>
        </w:rPr>
        <w:t>：接收、处理与状态数据旁路输出至日志、监控、录制、回放和诊断体系。</w:t>
      </w:r>
    </w:p>
    <w:p>
      <w:pPr>
        <w:spacing w:before="0" w:after="120" w:line="360" w:lineRule="auto"/>
        <w:ind w:firstLine="420"/>
      </w:pPr>
      <w:r>
        <w:rPr>
          <w:rFonts w:ascii="Times New Roman" w:hAnsi="Times New Roman" w:eastAsia="宋体"/>
          <w:b w:val="0"/>
          <w:i w:val="0"/>
          <w:sz w:val="24"/>
        </w:rPr>
        <w:t>本任务书所对应的信号处理软件位于服务器数据面主处理链中，覆盖原始 UDP 数据接收、重组、解析、完整 CPI 数据单元形成、信号级算法处理、原始数据录制协同以及结果输出等关键环节。该软件以前端上送的原始数据及其关联上下文为基础输入，以结构化处理结果、质量标记、异常标记和必要状态摘要为输出。</w:t>
      </w:r>
    </w:p>
    <w:p>
      <w:pPr>
        <w:spacing w:before="0" w:after="120" w:line="360" w:lineRule="auto"/>
        <w:ind w:firstLine="420"/>
      </w:pPr>
      <w:r>
        <w:rPr>
          <w:rFonts w:ascii="Times New Roman" w:hAnsi="Times New Roman" w:eastAsia="宋体"/>
          <w:b w:val="0"/>
          <w:i w:val="0"/>
          <w:sz w:val="24"/>
        </w:rPr>
        <w:t>系统运行采用“秒边界执行表切换、CPI 边界推进”的时序定义。控制面维护全局周期状态，数据面依据共享周期状态和参数快照完成逐 CPI 处理。</w:t>
      </w:r>
    </w:p>
    <w:p>
      <w:pPr>
        <w:spacing w:before="60" w:after="60" w:line="240" w:lineRule="auto"/>
        <w:ind w:firstLine="0"/>
        <w:pBdr>
          <w:bottom w:val="single" w:sz="6" w:space="1" w:color="auto"/>
        </w:pBdr>
      </w:pPr>
    </w:p>
    <w:p>
      <w:pPr>
        <w:pStyle w:val="Heading3"/>
        <w:spacing w:before="120" w:after="120" w:line="288" w:lineRule="auto"/>
        <w:ind w:firstLine="0"/>
      </w:pPr>
      <w:r>
        <w:rPr>
          <w:rFonts w:ascii="Times New Roman" w:hAnsi="Times New Roman" w:eastAsia="黑体"/>
          <w:b/>
          <w:sz w:val="26"/>
        </w:rPr>
        <w:t>3.2 外部协同关系与边界说明</w:t>
      </w:r>
    </w:p>
    <w:p>
      <w:pPr>
        <w:spacing w:before="0" w:after="120" w:line="360" w:lineRule="auto"/>
        <w:ind w:firstLine="420"/>
      </w:pPr>
      <w:r>
        <w:rPr>
          <w:rFonts w:ascii="Times New Roman" w:hAnsi="Times New Roman" w:eastAsia="宋体"/>
          <w:b w:val="0"/>
          <w:i w:val="0"/>
          <w:sz w:val="24"/>
        </w:rPr>
        <w:t>本软件部署于服务器数据面内部，承担原始数据接收、重组、解析、完整 CPI 数据单元形成以及后续信号级处理职责。其外部协同对象包括前端阵面/FPGA、数据处理与目标跟踪软件、任务调度软件、显控软件和基础支撑功能。</w:t>
      </w:r>
    </w:p>
    <w:p>
      <w:pPr>
        <w:pStyle w:val="Heading3"/>
        <w:spacing w:before="120" w:after="120" w:line="288" w:lineRule="auto"/>
        <w:ind w:firstLine="0"/>
      </w:pPr>
      <w:r>
        <w:rPr>
          <w:rFonts w:ascii="Times New Roman" w:hAnsi="Times New Roman" w:eastAsia="黑体"/>
          <w:b/>
          <w:sz w:val="26"/>
        </w:rPr>
        <w:t>3.2.1 与前端阵面/FPGA 的关系</w:t>
      </w:r>
    </w:p>
    <w:p>
      <w:pPr>
        <w:spacing w:before="0" w:after="120" w:line="360" w:lineRule="auto"/>
        <w:ind w:firstLine="420"/>
      </w:pPr>
      <w:r>
        <w:rPr>
          <w:rFonts w:ascii="Times New Roman" w:hAnsi="Times New Roman" w:eastAsia="宋体"/>
          <w:b w:val="0"/>
          <w:i w:val="0"/>
          <w:sz w:val="24"/>
        </w:rPr>
        <w:t>前端阵面/FPGA 是本软件的上游输入来源。前端负责 ADC 采样、执行表装载与生效、原始数据组包以及边界事件上报；本软件负责接收上行原始 UDP 数据，完成重组、解析、完整 CPI 数据单元形成、原始数据录制协同和信号级算法处理。</w:t>
      </w:r>
    </w:p>
    <w:p>
      <w:pPr>
        <w:spacing w:before="0" w:after="120" w:line="360" w:lineRule="auto"/>
        <w:ind w:firstLine="420"/>
      </w:pPr>
      <w:r>
        <w:rPr>
          <w:rFonts w:ascii="Times New Roman" w:hAnsi="Times New Roman" w:eastAsia="宋体"/>
          <w:b w:val="0"/>
          <w:i w:val="0"/>
          <w:sz w:val="24"/>
        </w:rPr>
        <w:t>双方接口应在包结构、数据组织、时序语义和异常判定上保持一致。本软件不承担前端执行表装载、生效和硬件时序控制。</w:t>
      </w:r>
    </w:p>
    <w:p>
      <w:pPr>
        <w:pStyle w:val="Heading3"/>
        <w:spacing w:before="120" w:after="120" w:line="288" w:lineRule="auto"/>
        <w:ind w:firstLine="0"/>
      </w:pPr>
      <w:r>
        <w:rPr>
          <w:rFonts w:ascii="Times New Roman" w:hAnsi="Times New Roman" w:eastAsia="黑体"/>
          <w:b/>
          <w:sz w:val="26"/>
        </w:rPr>
        <w:t>3.2.2 与数据处理与目标跟踪软件的关系</w:t>
      </w:r>
    </w:p>
    <w:p>
      <w:pPr>
        <w:spacing w:before="0" w:after="120" w:line="360" w:lineRule="auto"/>
        <w:ind w:firstLine="420"/>
      </w:pPr>
      <w:r>
        <w:rPr>
          <w:rFonts w:ascii="Times New Roman" w:hAnsi="Times New Roman" w:eastAsia="宋体"/>
          <w:b w:val="0"/>
          <w:i w:val="0"/>
          <w:sz w:val="24"/>
        </w:rPr>
        <w:t>数据处理与目标跟踪软件是本软件的主要下游协同对象。信号处理完成后，本软件应向下游输出目标数据或约定中间结果、参数快照信息、处理质量标记、异常标记和必要状态摘要。</w:t>
      </w:r>
    </w:p>
    <w:p>
      <w:pPr>
        <w:spacing w:before="0" w:after="120" w:line="360" w:lineRule="auto"/>
        <w:ind w:firstLine="420"/>
      </w:pPr>
      <w:r>
        <w:rPr>
          <w:rFonts w:ascii="Times New Roman" w:hAnsi="Times New Roman" w:eastAsia="宋体"/>
          <w:b w:val="0"/>
          <w:i w:val="0"/>
          <w:sz w:val="24"/>
        </w:rPr>
        <w:t>下游负责目标级逻辑处理、多阵面信息融合和航迹生成。本软件输出的结果应与当前 CPI 数据单元绑定的参数快照保持一致。</w:t>
      </w:r>
    </w:p>
    <w:p>
      <w:pPr>
        <w:pStyle w:val="Heading3"/>
        <w:spacing w:before="120" w:after="120" w:line="288" w:lineRule="auto"/>
        <w:ind w:firstLine="0"/>
      </w:pPr>
      <w:r>
        <w:rPr>
          <w:rFonts w:ascii="Times New Roman" w:hAnsi="Times New Roman" w:eastAsia="黑体"/>
          <w:b/>
          <w:sz w:val="26"/>
        </w:rPr>
        <w:t>3.2.3 与任务调度软件的关系</w:t>
      </w:r>
    </w:p>
    <w:p>
      <w:pPr>
        <w:spacing w:before="0" w:after="120" w:line="360" w:lineRule="auto"/>
        <w:ind w:firstLine="420"/>
      </w:pPr>
      <w:r>
        <w:rPr>
          <w:rFonts w:ascii="Times New Roman" w:hAnsi="Times New Roman" w:eastAsia="宋体"/>
          <w:b w:val="0"/>
          <w:i w:val="0"/>
          <w:sz w:val="24"/>
        </w:rPr>
        <w:t>任务调度软件位于服务器控制面，负责调度视图维护、执行表定版、生效边界管理、模式状态机管理以及与前端控制执行相关的控制流行为。本软件位于服务器数据面，通过与当前 CPI 数据单元绑定的参数快照和共享周期状态获取模式、表版本和边界语义，不在算法运行过程中直接查询调度执行表。</w:t>
      </w:r>
    </w:p>
    <w:p>
      <w:pPr>
        <w:spacing w:before="0" w:after="120" w:line="360" w:lineRule="auto"/>
        <w:ind w:firstLine="420"/>
      </w:pPr>
      <w:r>
        <w:rPr>
          <w:rFonts w:ascii="Times New Roman" w:hAnsi="Times New Roman" w:eastAsia="宋体"/>
          <w:b w:val="0"/>
          <w:i w:val="0"/>
          <w:sz w:val="24"/>
        </w:rPr>
        <w:t>调度执行结果通过前端执行和上行数据反映为本软件可消费的上下文信息。本软件输出的处理结果和状态信息可供控制面用于系统状态判断和后续策略调整。</w:t>
      </w:r>
    </w:p>
    <w:p>
      <w:pPr>
        <w:pStyle w:val="Heading3"/>
        <w:spacing w:before="120" w:after="120" w:line="288" w:lineRule="auto"/>
        <w:ind w:firstLine="0"/>
      </w:pPr>
      <w:r>
        <w:rPr>
          <w:rFonts w:ascii="Times New Roman" w:hAnsi="Times New Roman" w:eastAsia="黑体"/>
          <w:b/>
          <w:sz w:val="26"/>
        </w:rPr>
        <w:t>3.2.4 与显控软件的关系</w:t>
      </w:r>
    </w:p>
    <w:p>
      <w:pPr>
        <w:spacing w:before="0" w:after="120" w:line="360" w:lineRule="auto"/>
        <w:ind w:firstLine="420"/>
      </w:pPr>
      <w:r>
        <w:rPr>
          <w:rFonts w:ascii="Times New Roman" w:hAnsi="Times New Roman" w:eastAsia="宋体"/>
          <w:b w:val="0"/>
          <w:i w:val="0"/>
          <w:sz w:val="24"/>
        </w:rPr>
        <w:t>显控软件通过控制面与本软件间接协同。显控负责任务输入、状态显示和人工干预；本软件的处理结果、状态信息和告警信息经控制面或下游链路用于显控显示。</w:t>
      </w:r>
    </w:p>
    <w:p>
      <w:pPr>
        <w:spacing w:before="0" w:after="120" w:line="360" w:lineRule="auto"/>
        <w:ind w:firstLine="420"/>
      </w:pPr>
      <w:r>
        <w:rPr>
          <w:rFonts w:ascii="Times New Roman" w:hAnsi="Times New Roman" w:eastAsia="宋体"/>
          <w:b w:val="0"/>
          <w:i w:val="0"/>
          <w:sz w:val="24"/>
        </w:rPr>
        <w:t>本软件不直接适配显控协议，也不直接响应显控命令。</w:t>
      </w:r>
    </w:p>
    <w:p>
      <w:pPr>
        <w:pStyle w:val="Heading3"/>
        <w:spacing w:before="120" w:after="120" w:line="288" w:lineRule="auto"/>
        <w:ind w:firstLine="0"/>
      </w:pPr>
      <w:r>
        <w:rPr>
          <w:rFonts w:ascii="Times New Roman" w:hAnsi="Times New Roman" w:eastAsia="黑体"/>
          <w:b/>
          <w:sz w:val="26"/>
        </w:rPr>
        <w:t>3.2.5 与基础支撑功能的关系</w:t>
      </w:r>
    </w:p>
    <w:p>
      <w:pPr>
        <w:spacing w:before="0" w:after="120" w:line="360" w:lineRule="auto"/>
        <w:ind w:firstLine="420"/>
      </w:pPr>
      <w:r>
        <w:rPr>
          <w:rFonts w:ascii="Times New Roman" w:hAnsi="Times New Roman" w:eastAsia="宋体"/>
          <w:b w:val="0"/>
          <w:i w:val="0"/>
          <w:sz w:val="24"/>
        </w:rPr>
        <w:t>基础支撑功能为本软件提供日志、监控、录制、回放、配置和问题定位与追溯等支撑能力。本软件应向基础支撑功能输出必要的运行日志、状态、性能统计和异常信息，并配合录制与回放。</w:t>
      </w:r>
    </w:p>
    <w:p>
      <w:pPr>
        <w:spacing w:before="0" w:after="120" w:line="360" w:lineRule="auto"/>
        <w:ind w:firstLine="420"/>
      </w:pPr>
      <w:r>
        <w:rPr>
          <w:rFonts w:ascii="Times New Roman" w:hAnsi="Times New Roman" w:eastAsia="宋体"/>
          <w:b w:val="0"/>
          <w:i w:val="0"/>
          <w:sz w:val="24"/>
        </w:rPr>
        <w:t>基础支撑功能不得以阻塞方式影响实时主处理链。录制、日志和状态采集应采用旁路链路或异步方式。</w:t>
      </w:r>
    </w:p>
    <w:p>
      <w:pPr>
        <w:spacing w:before="60" w:after="60" w:line="240" w:lineRule="auto"/>
        <w:ind w:firstLine="0"/>
        <w:pBdr>
          <w:bottom w:val="single" w:sz="6" w:space="1" w:color="auto"/>
        </w:pBdr>
      </w:pPr>
    </w:p>
    <w:p>
      <w:pPr>
        <w:pStyle w:val="Heading3"/>
        <w:spacing w:before="120" w:after="120" w:line="288" w:lineRule="auto"/>
        <w:ind w:firstLine="0"/>
      </w:pPr>
      <w:r>
        <w:rPr>
          <w:rFonts w:ascii="Times New Roman" w:hAnsi="Times New Roman" w:eastAsia="黑体"/>
          <w:b/>
          <w:sz w:val="26"/>
        </w:rPr>
        <w:t>3.3 硬件环境</w:t>
      </w:r>
    </w:p>
    <w:p>
      <w:pPr>
        <w:spacing w:before="0" w:after="120" w:line="360" w:lineRule="auto"/>
        <w:ind w:firstLine="420"/>
      </w:pPr>
      <w:r>
        <w:rPr>
          <w:rFonts w:ascii="Times New Roman" w:hAnsi="Times New Roman" w:eastAsia="宋体"/>
          <w:b w:val="0"/>
          <w:i w:val="0"/>
          <w:sz w:val="24"/>
        </w:rPr>
        <w:t>本软件目标运行平台为服务器侧 ARM64 实时处理平台，硬件环境基线如下：</w:t>
      </w:r>
    </w:p>
    <w:p>
      <w:pPr>
        <w:pStyle w:val="ListBullet"/>
        <w:spacing w:before="0" w:after="60" w:line="324" w:lineRule="auto"/>
        <w:ind w:left="420" w:firstLine="0"/>
      </w:pPr>
      <w:r>
        <w:rPr>
          <w:rFonts w:ascii="Times New Roman" w:hAnsi="Times New Roman" w:eastAsia="宋体"/>
          <w:b w:val="0"/>
          <w:i w:val="0"/>
          <w:sz w:val="24"/>
        </w:rPr>
        <w:t>目标机架构：ARM64 服务器；</w:t>
      </w:r>
    </w:p>
    <w:p>
      <w:pPr>
        <w:pStyle w:val="ListBullet"/>
        <w:spacing w:before="0" w:after="60" w:line="324" w:lineRule="auto"/>
        <w:ind w:left="420" w:firstLine="0"/>
      </w:pPr>
      <w:r>
        <w:rPr>
          <w:rFonts w:ascii="Times New Roman" w:hAnsi="Times New Roman" w:eastAsia="宋体"/>
          <w:b w:val="0"/>
          <w:i w:val="0"/>
          <w:sz w:val="24"/>
        </w:rPr>
        <w:t>计算资源：32 核双 NUMA；</w:t>
      </w:r>
    </w:p>
    <w:p>
      <w:pPr>
        <w:pStyle w:val="ListBullet"/>
        <w:spacing w:before="0" w:after="60" w:line="324" w:lineRule="auto"/>
        <w:ind w:left="420" w:firstLine="0"/>
      </w:pPr>
      <w:r>
        <w:rPr>
          <w:rFonts w:ascii="Times New Roman" w:hAnsi="Times New Roman" w:eastAsia="宋体"/>
          <w:b w:val="0"/>
          <w:i w:val="0"/>
          <w:sz w:val="24"/>
        </w:rPr>
        <w:t>部署分区：</w:t>
      </w:r>
    </w:p>
    <w:p>
      <w:pPr>
        <w:pStyle w:val="ListBullet"/>
        <w:spacing w:before="0" w:after="60" w:line="324" w:lineRule="auto"/>
        <w:ind w:left="420" w:firstLine="0"/>
      </w:pPr>
      <w:r>
        <w:rPr>
          <w:rFonts w:ascii="Times New Roman" w:hAnsi="Times New Roman" w:eastAsia="宋体"/>
          <w:b w:val="0"/>
          <w:i w:val="0"/>
          <w:sz w:val="24"/>
        </w:rPr>
        <w:t>NUMA 节点 1（Node1）为实时数据面，承担收包、重组、信号处理以及面向下游数据处理模块的数据输出；</w:t>
      </w:r>
    </w:p>
    <w:p>
      <w:pPr>
        <w:pStyle w:val="ListBullet"/>
        <w:spacing w:before="0" w:after="60" w:line="324" w:lineRule="auto"/>
        <w:ind w:left="420" w:firstLine="0"/>
      </w:pPr>
      <w:r>
        <w:rPr>
          <w:rFonts w:ascii="Times New Roman" w:hAnsi="Times New Roman" w:eastAsia="宋体"/>
          <w:b w:val="0"/>
          <w:i w:val="0"/>
          <w:sz w:val="24"/>
        </w:rPr>
        <w:t>NUMA 节点 0（Node0）为控制面与基础支撑功能，承担显控接入、任务调度、时基管理、状态汇聚、日志监控和异步转存；</w:t>
      </w:r>
    </w:p>
    <w:p>
      <w:pPr>
        <w:pStyle w:val="ListBullet"/>
        <w:spacing w:before="0" w:after="60" w:line="324" w:lineRule="auto"/>
        <w:ind w:left="420" w:firstLine="0"/>
      </w:pPr>
      <w:r>
        <w:rPr>
          <w:rFonts w:ascii="Times New Roman" w:hAnsi="Times New Roman" w:eastAsia="宋体"/>
          <w:b w:val="0"/>
          <w:i w:val="0"/>
          <w:sz w:val="24"/>
        </w:rPr>
        <w:t>网络资源：4 口 10G 全双工光口，其中 3 口分别连接 3 个阵面，1 口预留；</w:t>
      </w:r>
    </w:p>
    <w:p>
      <w:pPr>
        <w:pStyle w:val="ListBullet"/>
        <w:spacing w:before="0" w:after="60" w:line="324" w:lineRule="auto"/>
        <w:ind w:left="420" w:firstLine="0"/>
      </w:pPr>
      <w:r>
        <w:rPr>
          <w:rFonts w:ascii="Times New Roman" w:hAnsi="Times New Roman" w:eastAsia="宋体"/>
          <w:b w:val="0"/>
          <w:i w:val="0"/>
          <w:sz w:val="24"/>
        </w:rPr>
        <w:t>设备亲和性：GPU 与 10G 网卡同属 NUMA 节点 1（Node1）；</w:t>
      </w:r>
    </w:p>
    <w:p>
      <w:pPr>
        <w:pStyle w:val="ListBullet"/>
        <w:spacing w:before="0" w:after="60" w:line="324" w:lineRule="auto"/>
        <w:ind w:left="420" w:firstLine="0"/>
      </w:pPr>
      <w:r>
        <w:rPr>
          <w:rFonts w:ascii="Times New Roman" w:hAnsi="Times New Roman" w:eastAsia="宋体"/>
          <w:b w:val="0"/>
          <w:i w:val="0"/>
          <w:sz w:val="24"/>
        </w:rPr>
        <w:t>链路基线：上下行默认共用同一 10G 全双工物理链路；</w:t>
      </w:r>
    </w:p>
    <w:p>
      <w:pPr>
        <w:pStyle w:val="ListBullet"/>
        <w:spacing w:before="0" w:after="60" w:line="324" w:lineRule="auto"/>
        <w:ind w:left="420" w:firstLine="0"/>
      </w:pPr>
      <w:r>
        <w:rPr>
          <w:rFonts w:ascii="Times New Roman" w:hAnsi="Times New Roman" w:eastAsia="宋体"/>
          <w:b w:val="0"/>
          <w:i w:val="0"/>
          <w:sz w:val="24"/>
        </w:rPr>
        <w:t>存储基线：支持 NVMe 一级缓冲及后台异步转存到长期数据区。</w:t>
      </w:r>
    </w:p>
    <w:p>
      <w:pPr>
        <w:spacing w:before="0" w:after="120" w:line="360" w:lineRule="auto"/>
        <w:ind w:firstLine="420"/>
      </w:pPr>
      <w:r>
        <w:rPr>
          <w:rFonts w:ascii="Times New Roman" w:hAnsi="Times New Roman" w:eastAsia="宋体"/>
          <w:b w:val="0"/>
          <w:i w:val="0"/>
          <w:sz w:val="24"/>
        </w:rPr>
        <w:t>开发和测试环境应具备访问上述目标平台的能力，并支持真实网络、真实阵面联调和回放验证。</w:t>
      </w:r>
    </w:p>
    <w:p>
      <w:pPr>
        <w:pStyle w:val="Heading3"/>
        <w:spacing w:before="120" w:after="120" w:line="288" w:lineRule="auto"/>
        <w:ind w:firstLine="0"/>
      </w:pPr>
      <w:r>
        <w:rPr>
          <w:rFonts w:ascii="Times New Roman" w:hAnsi="Times New Roman" w:eastAsia="黑体"/>
          <w:b/>
          <w:sz w:val="26"/>
        </w:rPr>
        <w:t>3.4 软件环境</w:t>
      </w:r>
    </w:p>
    <w:p>
      <w:pPr>
        <w:pStyle w:val="ListBullet"/>
        <w:spacing w:before="0" w:after="60" w:line="324" w:lineRule="auto"/>
        <w:ind w:left="420" w:firstLine="0"/>
      </w:pPr>
      <w:r>
        <w:rPr>
          <w:rFonts w:ascii="Times New Roman" w:hAnsi="Times New Roman" w:eastAsia="宋体"/>
          <w:b w:val="0"/>
          <w:i w:val="0"/>
          <w:sz w:val="24"/>
        </w:rPr>
        <w:t>目标运行环境：支持 ARM64、NUMA、GPU 和 10G 网卡的 Linux 服务器操作系统；</w:t>
      </w:r>
    </w:p>
    <w:p>
      <w:pPr>
        <w:pStyle w:val="ListBullet"/>
        <w:spacing w:before="0" w:after="60" w:line="324" w:lineRule="auto"/>
        <w:ind w:left="420" w:firstLine="0"/>
      </w:pPr>
      <w:r>
        <w:rPr>
          <w:rFonts w:ascii="Times New Roman" w:hAnsi="Times New Roman" w:eastAsia="宋体"/>
          <w:b w:val="0"/>
          <w:i w:val="0"/>
          <w:sz w:val="24"/>
        </w:rPr>
        <w:t>运行形态：数据面与控制面以服务器侧长期运行服务/进程方式部署；</w:t>
      </w:r>
    </w:p>
    <w:p>
      <w:pPr>
        <w:pStyle w:val="ListBullet"/>
        <w:spacing w:before="0" w:after="60" w:line="324" w:lineRule="auto"/>
        <w:ind w:left="420" w:firstLine="0"/>
      </w:pPr>
      <w:r>
        <w:rPr>
          <w:rFonts w:ascii="Times New Roman" w:hAnsi="Times New Roman" w:eastAsia="宋体"/>
          <w:b w:val="0"/>
          <w:i w:val="0"/>
          <w:sz w:val="24"/>
        </w:rPr>
        <w:t>调试与运维环境应支持抓包、日志、性能分析、回放和链路状态观测；</w:t>
      </w:r>
    </w:p>
    <w:p>
      <w:pPr>
        <w:pStyle w:val="ListBullet"/>
        <w:spacing w:before="0" w:after="60" w:line="324" w:lineRule="auto"/>
        <w:ind w:left="420" w:firstLine="0"/>
      </w:pPr>
      <w:r>
        <w:rPr>
          <w:rFonts w:ascii="Times New Roman" w:hAnsi="Times New Roman" w:eastAsia="宋体"/>
          <w:b w:val="0"/>
          <w:i w:val="0"/>
          <w:sz w:val="24"/>
        </w:rPr>
        <w:t>软件环境应支持将显控、控制面、数据面及录制链路按职责隔离部署和联调。</w:t>
      </w:r>
    </w:p>
    <w:p>
      <w:pPr>
        <w:pStyle w:val="Heading2"/>
        <w:spacing w:before="240" w:after="120" w:line="288" w:lineRule="auto"/>
        <w:ind w:firstLine="0"/>
      </w:pPr>
      <w:r>
        <w:rPr>
          <w:rFonts w:ascii="Times New Roman" w:hAnsi="Times New Roman" w:eastAsia="黑体"/>
          <w:b/>
          <w:sz w:val="28"/>
        </w:rPr>
        <w:t>4 软件定位、职责与边界</w:t>
      </w:r>
    </w:p>
    <w:p>
      <w:pPr>
        <w:pStyle w:val="Heading3"/>
        <w:spacing w:before="120" w:after="120" w:line="288" w:lineRule="auto"/>
        <w:ind w:firstLine="0"/>
      </w:pPr>
      <w:r>
        <w:rPr>
          <w:rFonts w:ascii="Times New Roman" w:hAnsi="Times New Roman" w:eastAsia="黑体"/>
          <w:b/>
          <w:sz w:val="26"/>
        </w:rPr>
        <w:t>4.1 软件职责</w:t>
      </w:r>
    </w:p>
    <w:p>
      <w:pPr>
        <w:spacing w:before="0" w:after="120" w:line="360" w:lineRule="auto"/>
        <w:ind w:firstLine="420"/>
      </w:pPr>
      <w:r>
        <w:rPr>
          <w:rFonts w:ascii="Times New Roman" w:hAnsi="Times New Roman" w:eastAsia="宋体"/>
          <w:b w:val="0"/>
          <w:i w:val="0"/>
          <w:sz w:val="24"/>
        </w:rPr>
        <w:t>本软件是服务器数据面主处理链中的信号级处理配置项。它负责接收前端阵面/FPGA 上送的原始 UDP 数据，完成收包、重组、解析、完整 CPI 数据单元形成、参数快照绑定与消费，并在 CPU/GPU 协同架构上完成数字下变频、波束形成、脉压、杂波抑制、检测与目标参数提取等信号处理，同时承担原始数据录制与回放协同相关职责，向下游输出可直接消费的结构化结果、处理质量标记、异常标记和必要状态摘要。</w:t>
      </w:r>
    </w:p>
    <w:p>
      <w:pPr>
        <w:pStyle w:val="Heading3"/>
        <w:spacing w:before="120" w:after="120" w:line="288" w:lineRule="auto"/>
        <w:ind w:firstLine="0"/>
      </w:pPr>
      <w:r>
        <w:rPr>
          <w:rFonts w:ascii="Times New Roman" w:hAnsi="Times New Roman" w:eastAsia="黑体"/>
          <w:b/>
          <w:sz w:val="26"/>
        </w:rPr>
        <w:t>4.2 不负责内容</w:t>
      </w:r>
    </w:p>
    <w:p>
      <w:pPr>
        <w:spacing w:before="0" w:after="120" w:line="360" w:lineRule="auto"/>
        <w:ind w:firstLine="420"/>
      </w:pPr>
      <w:r>
        <w:rPr>
          <w:rFonts w:ascii="Times New Roman" w:hAnsi="Times New Roman" w:eastAsia="宋体"/>
          <w:b w:val="0"/>
          <w:i w:val="0"/>
          <w:sz w:val="24"/>
        </w:rPr>
        <w:t>本软件不负责前端执行表生成与下发、任务调度、模式状态机、接收确认/生效确认/遥测汇聚、显控交互以及目标级融合与航迹维护。长期持久化归档、系统级状态显示和控制级运行裁决亦不属于本软件主处理链职责。</w:t>
      </w:r>
    </w:p>
    <w:p>
      <w:pPr>
        <w:pStyle w:val="Heading3"/>
        <w:spacing w:before="120" w:after="120" w:line="288" w:lineRule="auto"/>
        <w:ind w:firstLine="0"/>
      </w:pPr>
      <w:r>
        <w:rPr>
          <w:rFonts w:ascii="Times New Roman" w:hAnsi="Times New Roman" w:eastAsia="黑体"/>
          <w:b/>
          <w:sz w:val="26"/>
        </w:rPr>
        <w:t>4.3 数据面定位</w:t>
      </w:r>
    </w:p>
    <w:p>
      <w:pPr>
        <w:spacing w:before="0" w:after="120" w:line="360" w:lineRule="auto"/>
        <w:ind w:firstLine="420"/>
      </w:pPr>
      <w:r>
        <w:rPr>
          <w:rFonts w:ascii="Times New Roman" w:hAnsi="Times New Roman" w:eastAsia="宋体"/>
          <w:b w:val="0"/>
          <w:i w:val="0"/>
          <w:sz w:val="24"/>
        </w:rPr>
        <w:t>本软件部署于服务器 NUMA 节点 1（Node1）实时数据面，承担从原始 UDP 数据接收、重组、解析、完整 CPI 数据单元形成，到信号级算法处理、结果输出和原始数据录制协同的连续处理职责，是目标级处理之前的核心数据面处理环节。其运行应遵循数据面高吞吐、低时延、NUMA 就近和 GPU 协同原则，不引入控制面阻塞依赖。</w:t>
      </w:r>
    </w:p>
    <w:p>
      <w:pPr>
        <w:pStyle w:val="Heading3"/>
        <w:spacing w:before="120" w:after="120" w:line="288" w:lineRule="auto"/>
        <w:ind w:firstLine="0"/>
      </w:pPr>
      <w:r>
        <w:rPr>
          <w:rFonts w:ascii="Times New Roman" w:hAnsi="Times New Roman" w:eastAsia="黑体"/>
          <w:b/>
          <w:sz w:val="26"/>
        </w:rPr>
        <w:t>4.4 与控制面的边界</w:t>
      </w:r>
    </w:p>
    <w:p>
      <w:pPr>
        <w:spacing w:before="0" w:after="120" w:line="360" w:lineRule="auto"/>
        <w:ind w:firstLine="420"/>
      </w:pPr>
      <w:r>
        <w:rPr>
          <w:rFonts w:ascii="Times New Roman" w:hAnsi="Times New Roman" w:eastAsia="宋体"/>
          <w:b w:val="0"/>
          <w:i w:val="0"/>
          <w:sz w:val="24"/>
        </w:rPr>
        <w:t>本软件与控制面通过参数快照、共享周期状态和结果状态信息协同。本软件处理所需的模式、表版本、周期和边界语义由参数快照和共享周期状态提供，不在算法运行时直接查询调度执行表。本软件不负责调度定版、生效边界裁决和前端控制闭环。</w:t>
      </w:r>
    </w:p>
    <w:p>
      <w:pPr>
        <w:pStyle w:val="Heading3"/>
        <w:spacing w:before="120" w:after="120" w:line="288" w:lineRule="auto"/>
        <w:ind w:firstLine="0"/>
      </w:pPr>
      <w:r>
        <w:rPr>
          <w:rFonts w:ascii="Times New Roman" w:hAnsi="Times New Roman" w:eastAsia="黑体"/>
          <w:b/>
          <w:sz w:val="26"/>
        </w:rPr>
        <w:t>4.5 与下游处理链的边界</w:t>
      </w:r>
    </w:p>
    <w:p>
      <w:pPr>
        <w:spacing w:before="0" w:after="120" w:line="360" w:lineRule="auto"/>
        <w:ind w:firstLine="420"/>
      </w:pPr>
      <w:r>
        <w:rPr>
          <w:rFonts w:ascii="Times New Roman" w:hAnsi="Times New Roman" w:eastAsia="宋体"/>
          <w:b w:val="0"/>
          <w:i w:val="0"/>
          <w:sz w:val="24"/>
        </w:rPr>
        <w:t>本软件负责输出点迹/目标数据或约定中间结果，并同时输出参数快照信息、质量标记和异常标记。下游负责目标级逻辑处理、多阵面融合、航迹维护、控制建议生成及对外发布。</w:t>
      </w:r>
    </w:p>
    <w:p>
      <w:pPr>
        <w:pStyle w:val="Heading3"/>
        <w:spacing w:before="120" w:after="120" w:line="288" w:lineRule="auto"/>
        <w:ind w:firstLine="0"/>
      </w:pPr>
      <w:r>
        <w:rPr>
          <w:rFonts w:ascii="Times New Roman" w:hAnsi="Times New Roman" w:eastAsia="黑体"/>
          <w:b/>
          <w:sz w:val="26"/>
        </w:rPr>
        <w:t>4.6 参数快照</w:t>
      </w:r>
    </w:p>
    <w:p>
      <w:pPr>
        <w:spacing w:before="0" w:after="120" w:line="360" w:lineRule="auto"/>
        <w:ind w:firstLine="420"/>
      </w:pPr>
      <w:r>
        <w:rPr>
          <w:rFonts w:ascii="Times New Roman" w:hAnsi="Times New Roman" w:eastAsia="宋体"/>
          <w:b w:val="0"/>
          <w:i w:val="0"/>
          <w:sz w:val="24"/>
        </w:rPr>
        <w:t>参数快照是与当前 CPI 数据单元对应的运行上下文集合，由上游绑定并随处理链传递。本软件应使用并保持传递该快照，可补充处理质量和异常标记，不得另行生成同语义副本。</w:t>
      </w:r>
    </w:p>
    <w:p>
      <w:pPr>
        <w:pStyle w:val="Heading3"/>
        <w:spacing w:before="120" w:after="120" w:line="288" w:lineRule="auto"/>
        <w:ind w:firstLine="0"/>
      </w:pPr>
      <w:r>
        <w:rPr>
          <w:rFonts w:ascii="Times New Roman" w:hAnsi="Times New Roman" w:eastAsia="黑体"/>
          <w:b/>
          <w:sz w:val="26"/>
        </w:rPr>
        <w:t>4.7 原始数据录制职责</w:t>
      </w:r>
    </w:p>
    <w:p>
      <w:pPr>
        <w:spacing w:before="0" w:after="120" w:line="360" w:lineRule="auto"/>
        <w:ind w:firstLine="420"/>
      </w:pPr>
      <w:r>
        <w:rPr>
          <w:rFonts w:ascii="Times New Roman" w:hAnsi="Times New Roman" w:eastAsia="宋体"/>
          <w:b w:val="0"/>
          <w:i w:val="0"/>
          <w:sz w:val="24"/>
        </w:rPr>
        <w:t>本软件承担与原始数据录制直接相关的采集、组织和协同职责，应能够围绕原始 UDP 数据、重组结果、完整 CPI 数据单元以及关联参数快照建立录制对象，并为回放、复盘、算法分析和问题追溯提供证据基础。录制链路应与主处理链协同设计，保证录制对象与周期号、表版本号、参数快照、质量标记和异常标记可关联。</w:t>
      </w:r>
    </w:p>
    <w:p>
      <w:pPr>
        <w:spacing w:before="0" w:after="120" w:line="360" w:lineRule="auto"/>
        <w:ind w:firstLine="420"/>
      </w:pPr>
      <w:r>
        <w:rPr>
          <w:rFonts w:ascii="Times New Roman" w:hAnsi="Times New Roman" w:eastAsia="宋体"/>
          <w:b w:val="0"/>
          <w:i w:val="0"/>
          <w:sz w:val="24"/>
        </w:rPr>
        <w:t>本软件可通过旁路方式或异步方式完成录制落盘、回放装载和分析旁证输出，以避免对实时主处理链形成反压；长期归档、跨系统分发和系统级存储资源调度不属于本软件职责范围。</w:t>
      </w:r>
    </w:p>
    <w:p>
      <w:pPr>
        <w:pStyle w:val="Heading3"/>
        <w:spacing w:before="120" w:after="120" w:line="288" w:lineRule="auto"/>
        <w:ind w:firstLine="0"/>
      </w:pPr>
      <w:r>
        <w:rPr>
          <w:rFonts w:ascii="Times New Roman" w:hAnsi="Times New Roman" w:eastAsia="黑体"/>
          <w:b/>
          <w:sz w:val="26"/>
        </w:rPr>
        <w:t>4.8 结果输出与状态回传职责</w:t>
      </w:r>
    </w:p>
    <w:p>
      <w:pPr>
        <w:spacing w:before="0" w:after="120" w:line="360" w:lineRule="auto"/>
        <w:ind w:firstLine="420"/>
      </w:pPr>
      <w:r>
        <w:rPr>
          <w:rFonts w:ascii="Times New Roman" w:hAnsi="Times New Roman" w:eastAsia="宋体"/>
          <w:b w:val="0"/>
          <w:i w:val="0"/>
          <w:sz w:val="24"/>
        </w:rPr>
        <w:t>本软件应向下游处理链输出约定格式的目标数据或中间结果对象，并同时输出参数快照信息、处理质量标记、异常标记和必要状态摘要。本软件产生的运行状态、性能统计和异常信息应进入服务器内部状态链路和基础支撑功能体系，用于监控、诊断和系统级状态汇聚。</w:t>
      </w:r>
    </w:p>
    <w:p>
      <w:pPr>
        <w:pStyle w:val="Heading2"/>
        <w:spacing w:before="240" w:after="120" w:line="288" w:lineRule="auto"/>
        <w:ind w:firstLine="0"/>
      </w:pPr>
      <w:r>
        <w:rPr>
          <w:rFonts w:ascii="Times New Roman" w:hAnsi="Times New Roman" w:eastAsia="黑体"/>
          <w:b/>
          <w:sz w:val="28"/>
        </w:rPr>
        <w:t>5 功能要求</w:t>
      </w:r>
    </w:p>
    <w:p>
      <w:pPr>
        <w:pStyle w:val="Heading3"/>
        <w:spacing w:before="120" w:after="120" w:line="288" w:lineRule="auto"/>
        <w:ind w:firstLine="0"/>
      </w:pPr>
      <w:r>
        <w:rPr>
          <w:rFonts w:ascii="Times New Roman" w:hAnsi="Times New Roman" w:eastAsia="黑体"/>
          <w:b/>
          <w:sz w:val="26"/>
        </w:rPr>
        <w:t>5.1 功能总述</w:t>
      </w:r>
    </w:p>
    <w:p>
      <w:pPr>
        <w:spacing w:before="0" w:after="120" w:line="360" w:lineRule="auto"/>
        <w:ind w:firstLine="420"/>
      </w:pPr>
      <w:r>
        <w:rPr>
          <w:rFonts w:ascii="Times New Roman" w:hAnsi="Times New Roman" w:eastAsia="宋体"/>
          <w:b w:val="0"/>
          <w:i w:val="0"/>
          <w:sz w:val="24"/>
        </w:rPr>
        <w:t>本软件应面向三阵面雷达服务器数据面，完成完整 CPI 数据单元的信号级处理，并在不同工作模式下向下游提供可信的结构化处理结果、质量标记、异常标记和必要状态摘要。软件应支持搜索模式、跟踪/精跟模式、测试与校准模式、降级运行与异常处理以及状态监视与自检等功能，并保证各功能均与参数快照、当前周期状态和当前工作模式保持一致。</w:t>
      </w:r>
    </w:p>
    <w:p>
      <w:pPr>
        <w:pStyle w:val="Heading3"/>
        <w:spacing w:before="120" w:after="120" w:line="288" w:lineRule="auto"/>
        <w:ind w:firstLine="0"/>
      </w:pPr>
      <w:r>
        <w:rPr>
          <w:rFonts w:ascii="Times New Roman" w:hAnsi="Times New Roman" w:eastAsia="黑体"/>
          <w:b/>
          <w:sz w:val="26"/>
        </w:rPr>
        <w:t>5.2 搜索模式处理功能</w:t>
      </w:r>
    </w:p>
    <w:p>
      <w:pPr>
        <w:spacing w:before="0" w:after="120" w:line="360" w:lineRule="auto"/>
        <w:ind w:firstLine="420"/>
      </w:pPr>
      <w:r>
        <w:rPr>
          <w:rFonts w:ascii="Times New Roman" w:hAnsi="Times New Roman" w:eastAsia="宋体"/>
          <w:b w:val="0"/>
          <w:i w:val="0"/>
          <w:sz w:val="24"/>
        </w:rPr>
        <w:t>在搜索模式下，本软件应具备对前端上送原始数据进行连续实时处理的能力。应能够以完整 CPI 数据单元为基本输入单位，完成数字下变频、数字波束形成、数字脉冲压缩、稀疏处理、动目标指示、动目标检测、恒虚警检测、旁瓣匿影、杂波图处理、目标参数提取及目标数据打包等处理，并输出供后续数据处理与目标跟踪模块直接消费的目标数据或中间结果。搜索模式下应支持按参数快照所绑定的工作模式、表版本、波位或波束标识及周期上下文开展处理，不得脱离当前上下文独立解释数据。</w:t>
      </w:r>
    </w:p>
    <w:p>
      <w:pPr>
        <w:pStyle w:val="Heading3"/>
        <w:spacing w:before="120" w:after="120" w:line="288" w:lineRule="auto"/>
        <w:ind w:firstLine="0"/>
      </w:pPr>
      <w:r>
        <w:rPr>
          <w:rFonts w:ascii="Times New Roman" w:hAnsi="Times New Roman" w:eastAsia="黑体"/>
          <w:b/>
          <w:sz w:val="26"/>
        </w:rPr>
        <w:t>5.3 跟踪/精跟模式处理功能</w:t>
      </w:r>
    </w:p>
    <w:p>
      <w:pPr>
        <w:spacing w:before="0" w:after="120" w:line="360" w:lineRule="auto"/>
        <w:ind w:firstLine="420"/>
      </w:pPr>
      <w:r>
        <w:rPr>
          <w:rFonts w:ascii="Times New Roman" w:hAnsi="Times New Roman" w:eastAsia="宋体"/>
          <w:b w:val="0"/>
          <w:i w:val="0"/>
          <w:sz w:val="24"/>
        </w:rPr>
        <w:t>在跟踪或精跟模式下，本软件应能够针对指定目标、指定波位或指定波束数据开展稳定处理，形成更高置信度的目标参数输出。软件应在搜索模式基础上，重点保证目标检测、距离测速、角度测量、目标参数精化、质量评估和结果打包的稳定性与一致性，并将结果与对应参数快照、当前周期状态和模式状态绑定输出。跟踪或精跟模式下，本软件仍承担原始数据接收、重组、解析、完整 CPI 数据单元形成、信号级处理和结果输出职责，但不负责目标管理、航迹维持、候选安排生成及执行表定版。</w:t>
      </w:r>
    </w:p>
    <w:p>
      <w:pPr>
        <w:pStyle w:val="Heading3"/>
        <w:spacing w:before="120" w:after="120" w:line="288" w:lineRule="auto"/>
        <w:ind w:firstLine="0"/>
      </w:pPr>
      <w:r>
        <w:rPr>
          <w:rFonts w:ascii="Times New Roman" w:hAnsi="Times New Roman" w:eastAsia="黑体"/>
          <w:b/>
          <w:sz w:val="26"/>
        </w:rPr>
        <w:t>5.4 测试与校准功能</w:t>
      </w:r>
    </w:p>
    <w:p>
      <w:pPr>
        <w:spacing w:before="0" w:after="120" w:line="360" w:lineRule="auto"/>
        <w:ind w:firstLine="420"/>
      </w:pPr>
      <w:r>
        <w:rPr>
          <w:rFonts w:ascii="Times New Roman" w:hAnsi="Times New Roman" w:eastAsia="宋体"/>
          <w:b w:val="0"/>
          <w:i w:val="0"/>
          <w:sz w:val="24"/>
        </w:rPr>
        <w:t>本软件应支持测试与校准模式下的专用信号处理能力，并能根据外部给定的测试状态、工作参数和模式控制，完成相应数据采集、专用处理、结果输出和状态回传。测试与校准功能至少应包括通信检查、幅相校准、T/R 检查、方向图检查、回波显示和干扰侦察。测试与校准功能应与正常工作模式在处理链上保持边界清晰，不得破坏数据面主处理链的时序一致性和上下文一致性。</w:t>
      </w:r>
    </w:p>
    <w:p>
      <w:pPr>
        <w:pStyle w:val="Heading4"/>
        <w:spacing w:before="120" w:after="120" w:line="288" w:lineRule="auto"/>
        <w:ind w:firstLine="0"/>
      </w:pPr>
      <w:r>
        <w:rPr>
          <w:rFonts w:ascii="Times New Roman" w:hAnsi="Times New Roman" w:eastAsia="黑体"/>
          <w:b/>
          <w:sz w:val="24"/>
        </w:rPr>
        <w:t>5.4.1 通信检查</w:t>
      </w:r>
    </w:p>
    <w:p>
      <w:pPr>
        <w:spacing w:before="0" w:after="120" w:line="360" w:lineRule="auto"/>
        <w:ind w:firstLine="420"/>
      </w:pPr>
      <w:r>
        <w:rPr>
          <w:rFonts w:ascii="Times New Roman" w:hAnsi="Times New Roman" w:eastAsia="宋体"/>
          <w:b w:val="0"/>
          <w:i w:val="0"/>
          <w:sz w:val="24"/>
        </w:rPr>
        <w:t>在通信检查模式下，本软件应能够接收对端发送的测试数据，对测试数据进行规定方式的回送或校验处理，并给出通信链路是否正常的判断结果。通信检查功能应支持对误码、异常帧、链路不通和数据不一致等情况进行识别和标记。</w:t>
      </w:r>
    </w:p>
    <w:p>
      <w:pPr>
        <w:pStyle w:val="Heading4"/>
        <w:spacing w:before="120" w:after="120" w:line="288" w:lineRule="auto"/>
        <w:ind w:firstLine="0"/>
      </w:pPr>
      <w:r>
        <w:rPr>
          <w:rFonts w:ascii="Times New Roman" w:hAnsi="Times New Roman" w:eastAsia="黑体"/>
          <w:b/>
          <w:sz w:val="24"/>
        </w:rPr>
        <w:t>5.4.2 幅相校准</w:t>
      </w:r>
    </w:p>
    <w:p>
      <w:pPr>
        <w:spacing w:before="0" w:after="120" w:line="360" w:lineRule="auto"/>
        <w:ind w:firstLine="420"/>
      </w:pPr>
      <w:r>
        <w:rPr>
          <w:rFonts w:ascii="Times New Roman" w:hAnsi="Times New Roman" w:eastAsia="宋体"/>
          <w:b w:val="0"/>
          <w:i w:val="0"/>
          <w:sz w:val="24"/>
        </w:rPr>
        <w:t>在幅相校准模式下，本软件应能够接收校准信号，完成数字下变频、频域分析、参考通道比对、幅度一致性计算和相位一致性计算，并输出各通道的幅相校准结果。幅相校准结果应可用于后续信号处理链中的通道一致性修正或离线分析。</w:t>
      </w:r>
    </w:p>
    <w:p>
      <w:pPr>
        <w:pStyle w:val="Heading4"/>
        <w:spacing w:before="120" w:after="120" w:line="288" w:lineRule="auto"/>
        <w:ind w:firstLine="0"/>
      </w:pPr>
      <w:r>
        <w:rPr>
          <w:rFonts w:ascii="Times New Roman" w:hAnsi="Times New Roman" w:eastAsia="黑体"/>
          <w:b/>
          <w:sz w:val="24"/>
        </w:rPr>
        <w:t>5.4.3 T/R 检查</w:t>
      </w:r>
    </w:p>
    <w:p>
      <w:pPr>
        <w:spacing w:before="0" w:after="120" w:line="360" w:lineRule="auto"/>
        <w:ind w:firstLine="420"/>
      </w:pPr>
      <w:r>
        <w:rPr>
          <w:rFonts w:ascii="Times New Roman" w:hAnsi="Times New Roman" w:eastAsia="宋体"/>
          <w:b w:val="0"/>
          <w:i w:val="0"/>
          <w:sz w:val="24"/>
        </w:rPr>
        <w:t>在 T/R 检查模式下，本软件应支持收态检查和发态检查两类处理。对收态检查，应能够基于接收数据完成目标检测并输出目标幅度、距离、速度通道号和相位等结果；对发态检查，应能够按规定通道完成相应处理并输出检测结果或无目标标识。</w:t>
      </w:r>
    </w:p>
    <w:p>
      <w:pPr>
        <w:pStyle w:val="Heading4"/>
        <w:spacing w:before="120" w:after="120" w:line="288" w:lineRule="auto"/>
        <w:ind w:firstLine="0"/>
      </w:pPr>
      <w:r>
        <w:rPr>
          <w:rFonts w:ascii="Times New Roman" w:hAnsi="Times New Roman" w:eastAsia="黑体"/>
          <w:b/>
          <w:sz w:val="24"/>
        </w:rPr>
        <w:t>5.4.4 方向图检查</w:t>
      </w:r>
    </w:p>
    <w:p>
      <w:pPr>
        <w:spacing w:before="0" w:after="120" w:line="360" w:lineRule="auto"/>
        <w:ind w:firstLine="420"/>
      </w:pPr>
      <w:r>
        <w:rPr>
          <w:rFonts w:ascii="Times New Roman" w:hAnsi="Times New Roman" w:eastAsia="宋体"/>
          <w:b w:val="0"/>
          <w:i w:val="0"/>
          <w:sz w:val="24"/>
        </w:rPr>
        <w:t>在方向图检查模式下，本软件应能够按规定工作方式对输入数据进行处理，完成目标检测、结果提取和状态输出，为方向图检查与验证提供数据支撑。</w:t>
      </w:r>
    </w:p>
    <w:p>
      <w:pPr>
        <w:pStyle w:val="Heading4"/>
        <w:spacing w:before="120" w:after="120" w:line="288" w:lineRule="auto"/>
        <w:ind w:firstLine="0"/>
      </w:pPr>
      <w:r>
        <w:rPr>
          <w:rFonts w:ascii="Times New Roman" w:hAnsi="Times New Roman" w:eastAsia="黑体"/>
          <w:b/>
          <w:sz w:val="24"/>
        </w:rPr>
        <w:t>5.4.5 回波显示</w:t>
      </w:r>
    </w:p>
    <w:p>
      <w:pPr>
        <w:spacing w:before="0" w:after="120" w:line="360" w:lineRule="auto"/>
        <w:ind w:firstLine="420"/>
      </w:pPr>
      <w:r>
        <w:rPr>
          <w:rFonts w:ascii="Times New Roman" w:hAnsi="Times New Roman" w:eastAsia="宋体"/>
          <w:b w:val="0"/>
          <w:i w:val="0"/>
          <w:sz w:val="24"/>
        </w:rPr>
        <w:t>在回波显示模式下，本软件应能够按要求输出指定通道、指定波位或指定处理阶段的回波相关结果，用于显控显示、联调观察和问题分析。该功能应以结果输出和显示支撑为主，不改变本软件作为信号处理配置项的职责边界。</w:t>
      </w:r>
    </w:p>
    <w:p>
      <w:pPr>
        <w:pStyle w:val="Heading4"/>
        <w:spacing w:before="120" w:after="120" w:line="288" w:lineRule="auto"/>
        <w:ind w:firstLine="0"/>
      </w:pPr>
      <w:r>
        <w:rPr>
          <w:rFonts w:ascii="Times New Roman" w:hAnsi="Times New Roman" w:eastAsia="黑体"/>
          <w:b/>
          <w:sz w:val="24"/>
        </w:rPr>
        <w:t>5.4.6 干扰侦察</w:t>
      </w:r>
    </w:p>
    <w:p>
      <w:pPr>
        <w:spacing w:before="0" w:after="120" w:line="360" w:lineRule="auto"/>
        <w:ind w:firstLine="420"/>
      </w:pPr>
      <w:r>
        <w:rPr>
          <w:rFonts w:ascii="Times New Roman" w:hAnsi="Times New Roman" w:eastAsia="宋体"/>
          <w:b w:val="0"/>
          <w:i w:val="0"/>
          <w:sz w:val="24"/>
        </w:rPr>
        <w:t>在干扰侦察模式下，本软件应能够对输入数据进行相应波束合成、频域分析、门限比较和干扰特征判定，识别多音干扰、单音干扰和宽带干扰等典型情形，并输出相应干扰侦察结果和状态信息。</w:t>
      </w:r>
    </w:p>
    <w:p>
      <w:pPr>
        <w:pStyle w:val="Heading3"/>
        <w:spacing w:before="120" w:after="120" w:line="288" w:lineRule="auto"/>
        <w:ind w:firstLine="0"/>
      </w:pPr>
      <w:r>
        <w:rPr>
          <w:rFonts w:ascii="Times New Roman" w:hAnsi="Times New Roman" w:eastAsia="黑体"/>
          <w:b/>
          <w:sz w:val="26"/>
        </w:rPr>
        <w:t>5.5 降级运行与异常处理功能</w:t>
      </w:r>
    </w:p>
    <w:p>
      <w:pPr>
        <w:spacing w:before="0" w:after="120" w:line="360" w:lineRule="auto"/>
        <w:ind w:firstLine="420"/>
      </w:pPr>
      <w:r>
        <w:rPr>
          <w:rFonts w:ascii="Times New Roman" w:hAnsi="Times New Roman" w:eastAsia="宋体"/>
          <w:b w:val="0"/>
          <w:i w:val="0"/>
          <w:sz w:val="24"/>
        </w:rPr>
        <w:t>本软件应具备面向工程运行的降级和异常处理能力。对缺包、乱序、重复包、截断包、参数快照缺失、周期状态异常、模式不一致、输入数据不完整、算法处理失败及资源不足等情况，应能够完成识别、标记、隔离和状态上报；在不满足主算法处理条件时，应按系统约定输出异常标记、降级标记或受限结果，不得将异常数据伪装为正常结果输出。软件应支持与系统级沿用上一周期执行表继续运行、局部降级和安全态策略相协调，但本软件本身不负责调度级降级裁决和控制级安全态管理。</w:t>
      </w:r>
    </w:p>
    <w:p>
      <w:pPr>
        <w:pStyle w:val="Heading3"/>
        <w:spacing w:before="120" w:after="120" w:line="288" w:lineRule="auto"/>
        <w:ind w:firstLine="0"/>
      </w:pPr>
      <w:r>
        <w:rPr>
          <w:rFonts w:ascii="Times New Roman" w:hAnsi="Times New Roman" w:eastAsia="黑体"/>
          <w:b/>
          <w:sz w:val="26"/>
        </w:rPr>
        <w:t>5.6 状态监视与自检功能</w:t>
      </w:r>
    </w:p>
    <w:p>
      <w:pPr>
        <w:spacing w:before="0" w:after="120" w:line="360" w:lineRule="auto"/>
        <w:ind w:firstLine="420"/>
      </w:pPr>
      <w:r>
        <w:rPr>
          <w:rFonts w:ascii="Times New Roman" w:hAnsi="Times New Roman" w:eastAsia="宋体"/>
          <w:b w:val="0"/>
          <w:i w:val="0"/>
          <w:sz w:val="24"/>
        </w:rPr>
        <w:t>本软件应具备运行状态监视和自检能力。应能够对数据接收健康状态、算法处理状态、模式状态、参数快照一致性、处理异常、资源使用情况以及关键处理链路的工作状态进行监视，并输出必要的状态摘要、统计信息和告警信息。软件应支持上电后初始化检查、运行期自检和异常后的状态留痕，为联调、运维、回放和问题定位与追溯提供依据。状态监视与自检功能应以不反压实时主处理链为原则，通过受控方式向基础支撑功能和上级模块提供状态信息。</w:t>
      </w:r>
    </w:p>
    <w:p>
      <w:pPr>
        <w:pStyle w:val="Heading2"/>
        <w:spacing w:before="240" w:after="120" w:line="288" w:lineRule="auto"/>
        <w:ind w:firstLine="0"/>
      </w:pPr>
      <w:r>
        <w:rPr>
          <w:rFonts w:ascii="Times New Roman" w:hAnsi="Times New Roman" w:eastAsia="黑体"/>
          <w:b/>
          <w:sz w:val="28"/>
        </w:rPr>
        <w:t>6 算法处理要求</w:t>
      </w:r>
    </w:p>
    <w:p>
      <w:pPr>
        <w:pStyle w:val="Heading3"/>
        <w:spacing w:before="120" w:after="120" w:line="288" w:lineRule="auto"/>
        <w:ind w:firstLine="0"/>
      </w:pPr>
      <w:r>
        <w:rPr>
          <w:rFonts w:ascii="Times New Roman" w:hAnsi="Times New Roman" w:eastAsia="黑体"/>
          <w:b/>
          <w:sz w:val="26"/>
        </w:rPr>
        <w:t>6.1 算法处理链总体要求</w:t>
      </w:r>
    </w:p>
    <w:p>
      <w:pPr>
        <w:spacing w:before="0" w:after="120" w:line="360" w:lineRule="auto"/>
        <w:ind w:firstLine="420"/>
      </w:pPr>
      <w:r>
        <w:rPr>
          <w:rFonts w:ascii="Times New Roman" w:hAnsi="Times New Roman" w:eastAsia="宋体"/>
          <w:b w:val="0"/>
          <w:i w:val="0"/>
          <w:sz w:val="24"/>
        </w:rPr>
        <w:t>本软件应以完整 CPI 数据单元为基本输入对象，在参数快照和当前工作模式约束下完成信号级处理，并输出目标数据、处理中间结果、质量标记和异常标记。算法处理链应覆盖数字下变频、数字波束形成、数字脉冲压缩、稀疏处理、动目标指示、动目标检测、恒虚警检测、旁瓣匿影、杂波图处理、目标参数提取和目标数据打包等环节；在搜索、跟踪/精跟、测试与校准等不同模式下，可按工作目标选通全部或部分算法链，但各模式下的处理结果均应与其输入数据和参数快照保持一致。</w:t>
      </w:r>
    </w:p>
    <w:p>
      <w:pPr>
        <w:spacing w:before="0" w:after="120" w:line="360" w:lineRule="auto"/>
        <w:ind w:firstLine="420"/>
      </w:pPr>
      <w:r>
        <w:rPr>
          <w:rFonts w:ascii="Times New Roman" w:hAnsi="Times New Roman" w:eastAsia="宋体"/>
          <w:b w:val="0"/>
          <w:i w:val="0"/>
          <w:sz w:val="24"/>
        </w:rPr>
        <w:t>算法链各环节应按处理顺序依次执行。前级输出应作为后级输入，任一处理环节出现异常时，应在后续结果中保留相应质量或异常信息。</w:t>
      </w:r>
    </w:p>
    <w:p>
      <w:pPr>
        <w:pStyle w:val="Heading3"/>
        <w:spacing w:before="120" w:after="120" w:line="288" w:lineRule="auto"/>
        <w:ind w:firstLine="0"/>
      </w:pPr>
      <w:r>
        <w:rPr>
          <w:rFonts w:ascii="Times New Roman" w:hAnsi="Times New Roman" w:eastAsia="黑体"/>
          <w:b/>
          <w:sz w:val="26"/>
        </w:rPr>
        <w:t>6.2 数字下变频（DDC）</w:t>
      </w:r>
    </w:p>
    <w:p>
      <w:pPr>
        <w:spacing w:before="0" w:after="120" w:line="360" w:lineRule="auto"/>
        <w:ind w:firstLine="420"/>
      </w:pPr>
      <w:r>
        <w:rPr>
          <w:rFonts w:ascii="Times New Roman" w:hAnsi="Times New Roman" w:eastAsia="宋体"/>
          <w:b w:val="0"/>
          <w:i w:val="0"/>
          <w:sz w:val="24"/>
        </w:rPr>
        <w:t xml:space="preserve">数字下变频的目的，是将采样后的中频信号变换到复基带，为后续波束形成、脉压和多普勒处理提供统一输入。其基本思想是将输入信号分别与同相、正交本振相乘，再经低通滤波得到复包络表示。若第 </w:t>
      </w:r>
      <m:oMath>
        <m:r>
          <m:t>i</m:t>
        </m:r>
      </m:oMath>
      <w:r>
        <w:rPr>
          <w:rFonts w:ascii="Times New Roman" w:hAnsi="Times New Roman" w:eastAsia="宋体"/>
          <w:b w:val="0"/>
          <w:i w:val="0"/>
          <w:sz w:val="24"/>
        </w:rPr>
        <w:t xml:space="preserve"> 路采样信号记为</w:t>
      </w:r>
    </w:p>
    <w:p>
      <w:pPr>
        <w:spacing w:before="60" w:after="60" w:line="240" w:lineRule="auto"/>
        <w:ind w:firstLine="0"/>
        <w:jc w:val="center"/>
      </w:pPr>
      <m:oMath>
        <m:sSub>
          <m:e>
            <m:r>
              <m:t>f</m:t>
            </m:r>
          </m:e>
          <m:sub>
            <m:r>
              <m:t>i</m:t>
            </m:r>
          </m:sub>
        </m:sSub>
        <m:r>
          <m:t>(n)=A(n)</m:t>
        </m:r>
        <m:r>
          <m:rPr>
            <m:sty m:val="p"/>
          </m:rPr>
          <m:t>cos</m:t>
        </m:r>
        <m:d>
          <m:dPr>
            <m:sepChr m:val=""/>
          </m:dPr>
          <m:e>
            <m:r>
              <m:t>2</m:t>
            </m:r>
            <m:r>
              <m:t>π</m:t>
            </m:r>
            <m:sSub>
              <m:e>
                <m:r>
                  <m:t>f</m:t>
                </m:r>
              </m:e>
              <m:sub>
                <m:r>
                  <m:t>0</m:t>
                </m:r>
              </m:sub>
            </m:sSub>
            <m:r>
              <m:t>n</m:t>
            </m:r>
            <m:r>
              <m:t>+</m:t>
            </m:r>
            <m:f>
              <m:fPr>
                <m:type m:val="bar"/>
              </m:fPr>
              <m:num>
                <m:r>
                  <m:t>1</m:t>
                </m:r>
              </m:num>
              <m:den>
                <m:r>
                  <m:t>2</m:t>
                </m:r>
              </m:den>
            </m:f>
            <m:r>
              <m:t>μ</m:t>
            </m:r>
            <m:sSup>
              <m:e>
                <m:r>
                  <m:t>n</m:t>
                </m:r>
              </m:e>
              <m:sup>
                <m:r>
                  <m:t>2</m:t>
                </m:r>
              </m:sup>
            </m:sSup>
            <m:r>
              <m:t>+</m:t>
            </m:r>
            <m:sSub>
              <m:e>
                <m:r>
                  <m:t>φ</m:t>
                </m:r>
              </m:e>
              <m:sub>
                <m:r>
                  <m:t>i</m:t>
                </m:r>
              </m:sub>
            </m:sSub>
            <m:r>
              <m:t>(</m:t>
            </m:r>
            <m:r>
              <m:t>n</m:t>
            </m:r>
            <m:r>
              <m:t>)</m:t>
            </m:r>
          </m:e>
        </m:d>
      </m:oMath>
    </w:p>
    <w:p>
      <w:pPr>
        <w:spacing w:before="0" w:after="120" w:line="360" w:lineRule="auto"/>
        <w:ind w:firstLine="420"/>
      </w:pPr>
      <w:r>
        <w:rPr>
          <w:rFonts w:ascii="Times New Roman" w:hAnsi="Times New Roman" w:eastAsia="宋体"/>
          <w:b w:val="0"/>
          <w:i w:val="0"/>
          <w:sz w:val="24"/>
        </w:rPr>
        <w:t>则其同相、正交分量可表示为</w:t>
      </w:r>
    </w:p>
    <w:p>
      <w:pPr>
        <w:spacing w:before="60" w:after="60" w:line="240" w:lineRule="auto"/>
        <w:ind w:firstLine="0"/>
        <w:jc w:val="center"/>
      </w:pPr>
      <m:oMath>
        <m:sSub>
          <m:e>
            <m:r>
              <m:t>I</m:t>
            </m:r>
          </m:e>
          <m:sub>
            <m:r>
              <m:t>i</m:t>
            </m:r>
          </m:sub>
        </m:sSub>
        <m:r>
          <m:t>(n)=(</m:t>
        </m:r>
        <m:sSub>
          <m:e>
            <m:r>
              <m:t>f</m:t>
            </m:r>
          </m:e>
          <m:sub>
            <m:r>
              <m:t>i</m:t>
            </m:r>
          </m:sub>
        </m:sSub>
        <m:r>
          <m:t>(n)</m:t>
        </m:r>
        <m:r>
          <m:rPr>
            <m:sty m:val="p"/>
          </m:rPr>
          <m:t>cos</m:t>
        </m:r>
        <m:r>
          <m:t>(2π</m:t>
        </m:r>
        <m:sSub>
          <m:e>
            <m:r>
              <m:t>f</m:t>
            </m:r>
          </m:e>
          <m:sub>
            <m:r>
              <m:t>0</m:t>
            </m:r>
          </m:sub>
        </m:sSub>
        <m:r>
          <m:t>n))⊗LF</m:t>
        </m:r>
      </m:oMath>
    </w:p>
    <w:p>
      <w:pPr>
        <w:spacing w:before="60" w:after="60" w:line="240" w:lineRule="auto"/>
        <w:ind w:firstLine="0"/>
        <w:jc w:val="center"/>
      </w:pPr>
      <m:oMath>
        <m:sSub>
          <m:e>
            <m:r>
              <m:t>Q</m:t>
            </m:r>
          </m:e>
          <m:sub>
            <m:r>
              <m:t>i</m:t>
            </m:r>
          </m:sub>
        </m:sSub>
        <m:r>
          <m:t>(n)=(</m:t>
        </m:r>
        <m:sSub>
          <m:e>
            <m:r>
              <m:t>f</m:t>
            </m:r>
          </m:e>
          <m:sub>
            <m:r>
              <m:t>i</m:t>
            </m:r>
          </m:sub>
        </m:sSub>
        <m:r>
          <m:t>(n)</m:t>
        </m:r>
        <m:r>
          <m:rPr>
            <m:sty m:val="p"/>
          </m:rPr>
          <m:t>sin</m:t>
        </m:r>
        <m:r>
          <m:t>(2π</m:t>
        </m:r>
        <m:sSub>
          <m:e>
            <m:r>
              <m:t>f</m:t>
            </m:r>
          </m:e>
          <m:sub>
            <m:r>
              <m:t>0</m:t>
            </m:r>
          </m:sub>
        </m:sSub>
        <m:r>
          <m:t>n))⊗LF</m:t>
        </m:r>
      </m:oMath>
    </w:p>
    <w:p>
      <w:pPr>
        <w:spacing w:before="0" w:after="120" w:line="360" w:lineRule="auto"/>
        <w:ind w:firstLine="420"/>
      </w:pPr>
      <w:r>
        <w:rPr>
          <w:rFonts w:ascii="Times New Roman" w:hAnsi="Times New Roman" w:eastAsia="宋体"/>
          <w:b w:val="0"/>
          <w:i w:val="0"/>
          <w:sz w:val="24"/>
        </w:rPr>
        <w:t xml:space="preserve">其中 </w:t>
      </w:r>
      <m:oMath>
        <m:sSub>
          <m:e>
            <m:r>
              <m:t>f</m:t>
            </m:r>
          </m:e>
          <m:sub>
            <m:r>
              <m:t>0</m:t>
            </m:r>
          </m:sub>
        </m:sSub>
      </m:oMath>
      <w:r>
        <w:rPr>
          <w:rFonts w:ascii="Times New Roman" w:hAnsi="Times New Roman" w:eastAsia="宋体"/>
          <w:b w:val="0"/>
          <w:i w:val="0"/>
          <w:sz w:val="24"/>
        </w:rPr>
        <w:t xml:space="preserve"> 为中频载频，</w:t>
      </w:r>
      <m:oMath>
        <m:r>
          <m:t>μ</m:t>
        </m:r>
      </m:oMath>
      <w:r>
        <w:rPr>
          <w:rFonts w:ascii="Times New Roman" w:hAnsi="Times New Roman" w:eastAsia="宋体"/>
          <w:b w:val="0"/>
          <w:i w:val="0"/>
          <w:sz w:val="24"/>
        </w:rPr>
        <w:t xml:space="preserve"> 为调频斜率，</w:t>
      </w:r>
      <m:oMath>
        <m:r>
          <m:t>LF</m:t>
        </m:r>
      </m:oMath>
      <w:r>
        <w:rPr>
          <w:rFonts w:ascii="Times New Roman" w:hAnsi="Times New Roman" w:eastAsia="宋体"/>
          <w:b w:val="0"/>
          <w:i w:val="0"/>
          <w:sz w:val="24"/>
        </w:rPr>
        <w:t xml:space="preserve"> 为低通滤波器。DDC 输出应保留目标回波的幅度、相位和频率信息，并抑制镜像与高频分量。</w:t>
      </w:r>
    </w:p>
    <w:p>
      <w:pPr>
        <w:spacing w:before="0" w:after="120" w:line="360" w:lineRule="auto"/>
        <w:ind w:firstLine="420"/>
      </w:pPr>
      <w:r>
        <w:rPr>
          <w:rFonts w:ascii="Times New Roman" w:hAnsi="Times New Roman" w:eastAsia="宋体"/>
          <w:b w:val="0"/>
          <w:i w:val="0"/>
          <w:sz w:val="24"/>
        </w:rPr>
        <w:t>DDC 处理后的复基带数据应作为后续 DBF、DPC、MTI、MTD 等算法的统一输入。不同工作模式下，DDC 的本质处理原理保持不变，其差异主要体现在输入对象和后续消费链路不同。</w:t>
      </w:r>
    </w:p>
    <w:p>
      <w:pPr>
        <w:pStyle w:val="Heading3"/>
        <w:spacing w:before="120" w:after="120" w:line="288" w:lineRule="auto"/>
        <w:ind w:firstLine="0"/>
      </w:pPr>
      <w:r>
        <w:rPr>
          <w:rFonts w:ascii="Times New Roman" w:hAnsi="Times New Roman" w:eastAsia="黑体"/>
          <w:b/>
          <w:sz w:val="26"/>
        </w:rPr>
        <w:t>6.3 数字波束形成（DBF）</w:t>
      </w:r>
    </w:p>
    <w:p>
      <w:pPr>
        <w:spacing w:before="0" w:after="120" w:line="360" w:lineRule="auto"/>
        <w:ind w:firstLine="420"/>
      </w:pPr>
      <w:r>
        <w:rPr>
          <w:rFonts w:ascii="Times New Roman" w:hAnsi="Times New Roman" w:eastAsia="宋体"/>
          <w:b w:val="0"/>
          <w:i w:val="0"/>
          <w:sz w:val="24"/>
        </w:rPr>
        <w:t>数字波束形成的目的，是在数字域内对多通道信号进行加权合成，形成和波束、差波束或其他所需方向图输出，从而增强目标方向上的信号响应并抑制非期望方向上的能量。其基本形式可表示为：对各通道复基带数据按预定权值进行线性组合，</w:t>
      </w:r>
    </w:p>
    <w:p>
      <w:pPr>
        <w:spacing w:before="60" w:after="60" w:line="240" w:lineRule="auto"/>
        <w:ind w:firstLine="0"/>
        <w:jc w:val="center"/>
      </w:pPr>
      <m:oMath>
        <m:r>
          <m:t>y(n)=</m:t>
        </m:r>
        <m:nary>
          <m:naryPr>
            <m:chr m:val="∑"/>
            <m:limLoc m:val="subSup"/>
            <m:grow m:val="1"/>
            <m:subHide m:val="off"/>
            <m:supHide m:val="off"/>
          </m:naryPr>
          <m:sub>
            <m:r>
              <m:t>k=1</m:t>
            </m:r>
          </m:sub>
          <m:sup>
            <m:r>
              <m:t>M</m:t>
            </m:r>
          </m:sup>
          <m:e>
            <m:sSub>
              <m:e>
                <m:r>
                  <m:t>w</m:t>
                </m:r>
              </m:e>
              <m:sub>
                <m:r>
                  <m:t>k</m:t>
                </m:r>
              </m:sub>
            </m:sSub>
          </m:e>
        </m:nary>
        <m:sSub>
          <m:e>
            <m:r>
              <m:t>x</m:t>
            </m:r>
          </m:e>
          <m:sub>
            <m:r>
              <m:t>k</m:t>
            </m:r>
          </m:sub>
        </m:sSub>
        <m:r>
          <m:t>(n)</m:t>
        </m:r>
      </m:oMath>
    </w:p>
    <w:p>
      <w:pPr>
        <w:spacing w:before="0" w:after="120" w:line="360" w:lineRule="auto"/>
        <w:ind w:firstLine="420"/>
      </w:pPr>
      <w:r>
        <w:rPr>
          <w:rFonts w:ascii="Times New Roman" w:hAnsi="Times New Roman" w:eastAsia="宋体"/>
          <w:b w:val="0"/>
          <w:i w:val="0"/>
          <w:sz w:val="24"/>
        </w:rPr>
        <w:t xml:space="preserve">其中 </w:t>
      </w:r>
      <m:oMath>
        <m:sSub>
          <m:e>
            <m:r>
              <m:t>x</m:t>
            </m:r>
          </m:e>
          <m:sub>
            <m:r>
              <m:t>k</m:t>
            </m:r>
          </m:sub>
        </m:sSub>
        <m:r>
          <m:t>(n)</m:t>
        </m:r>
      </m:oMath>
      <w:r>
        <w:rPr>
          <w:rFonts w:ascii="Times New Roman" w:hAnsi="Times New Roman" w:eastAsia="宋体"/>
          <w:b w:val="0"/>
          <w:i w:val="0"/>
          <w:sz w:val="24"/>
        </w:rPr>
        <w:t xml:space="preserve"> 为第 </w:t>
      </w:r>
      <m:oMath>
        <m:r>
          <m:t>k</m:t>
        </m:r>
      </m:oMath>
      <w:r>
        <w:rPr>
          <w:rFonts w:ascii="Times New Roman" w:hAnsi="Times New Roman" w:eastAsia="宋体"/>
          <w:b w:val="0"/>
          <w:i w:val="0"/>
          <w:sz w:val="24"/>
        </w:rPr>
        <w:t xml:space="preserve"> 个通道输入，</w:t>
      </w:r>
      <m:oMath>
        <m:sSub>
          <m:e>
            <m:r>
              <m:t>w</m:t>
            </m:r>
          </m:e>
          <m:sub>
            <m:r>
              <m:t>k</m:t>
            </m:r>
          </m:sub>
        </m:sSub>
      </m:oMath>
      <w:r>
        <w:rPr>
          <w:rFonts w:ascii="Times New Roman" w:hAnsi="Times New Roman" w:eastAsia="宋体"/>
          <w:b w:val="0"/>
          <w:i w:val="0"/>
          <w:sz w:val="24"/>
        </w:rPr>
        <w:t xml:space="preserve"> 为相应复权值，</w:t>
      </w:r>
      <m:oMath>
        <m:r>
          <m:t>M</m:t>
        </m:r>
      </m:oMath>
      <w:r>
        <w:rPr>
          <w:rFonts w:ascii="Times New Roman" w:hAnsi="Times New Roman" w:eastAsia="宋体"/>
          <w:b w:val="0"/>
          <w:i w:val="0"/>
          <w:sz w:val="24"/>
        </w:rPr>
        <w:t xml:space="preserve"> 为参与合成的通道数。不同权值组合可形成不同波束输出，例如和波束、方位差波束、俯仰差波束等。</w:t>
      </w:r>
    </w:p>
    <w:p>
      <w:pPr>
        <w:spacing w:before="0" w:after="120" w:line="360" w:lineRule="auto"/>
        <w:ind w:firstLine="420"/>
      </w:pPr>
      <w:r>
        <w:rPr>
          <w:rFonts w:ascii="Times New Roman" w:hAnsi="Times New Roman" w:eastAsia="宋体"/>
          <w:b w:val="0"/>
          <w:i w:val="0"/>
          <w:sz w:val="24"/>
        </w:rPr>
        <w:t>DBF 的理论要求，是在已知阵列几何、通道一致性和工作模式条件下，形成满足当前任务需求的空间滤波输出。其结果应为后续脉压、检测和角度估计提供稳定输入；在测试与校准模式下，DBF 也可作为通道一致性验证和方向图检查的重要基础。</w:t>
      </w:r>
    </w:p>
    <w:p>
      <w:pPr>
        <w:pStyle w:val="Heading3"/>
        <w:spacing w:before="120" w:after="120" w:line="288" w:lineRule="auto"/>
        <w:ind w:firstLine="0"/>
      </w:pPr>
      <w:r>
        <w:rPr>
          <w:rFonts w:ascii="Times New Roman" w:hAnsi="Times New Roman" w:eastAsia="黑体"/>
          <w:b/>
          <w:sz w:val="26"/>
        </w:rPr>
        <w:t>6.4 数字脉冲压缩（DPC）</w:t>
      </w:r>
    </w:p>
    <w:p>
      <w:pPr>
        <w:spacing w:before="0" w:after="120" w:line="360" w:lineRule="auto"/>
        <w:ind w:firstLine="420"/>
      </w:pPr>
      <w:r>
        <w:rPr>
          <w:rFonts w:ascii="Times New Roman" w:hAnsi="Times New Roman" w:eastAsia="宋体"/>
          <w:b w:val="0"/>
          <w:i w:val="0"/>
          <w:sz w:val="24"/>
        </w:rPr>
        <w:t>数字脉冲压缩的目的，是利用发射信号的已知调制规律进行匹配滤波，提高距离分辨率并增强信噪比。其基本原理，是将接收回波与发射信号的共轭倒序模板进行相关。对于线性调频信号，匹配滤波器可表示为</w:t>
      </w:r>
    </w:p>
    <w:p>
      <w:pPr>
        <w:spacing w:before="60" w:after="60" w:line="240" w:lineRule="auto"/>
        <w:ind w:firstLine="0"/>
        <w:jc w:val="center"/>
      </w:pPr>
      <m:oMath>
        <m:r>
          <m:t>M</m:t>
        </m:r>
        <m:sSub>
          <m:e>
            <m:r>
              <m:t>S</m:t>
            </m:r>
          </m:e>
          <m:sub>
            <m:r>
              <m:t>1</m:t>
            </m:r>
          </m:sub>
        </m:sSub>
        <m:r>
          <m:t>=</m:t>
        </m:r>
        <m:r>
          <m:rPr>
            <m:sty m:val="p"/>
          </m:rPr>
          <m:t>exp</m:t>
        </m:r>
        <m:d>
          <m:dPr>
            <m:sepChr m:val=""/>
          </m:dPr>
          <m:e>
            <m:r>
              <m:t>j</m:t>
            </m:r>
            <m:r>
              <m:t>π</m:t>
            </m:r>
            <m:f>
              <m:fPr>
                <m:type m:val="bar"/>
              </m:fPr>
              <m:num>
                <m:r>
                  <m:t>B</m:t>
                </m:r>
              </m:num>
              <m:den>
                <m:r>
                  <m:t>τ</m:t>
                </m:r>
              </m:den>
            </m:f>
            <m:sSup>
              <m:e>
                <m:r>
                  <m:t>t</m:t>
                </m:r>
              </m:e>
              <m:sup>
                <m:r>
                  <m:t>2</m:t>
                </m:r>
              </m:sup>
            </m:sSup>
          </m:e>
        </m:d>
      </m:oMath>
    </w:p>
    <w:p>
      <w:pPr>
        <w:spacing w:before="0" w:after="120" w:line="360" w:lineRule="auto"/>
        <w:ind w:firstLine="420"/>
      </w:pPr>
      <w:r>
        <w:rPr>
          <w:rFonts w:ascii="Times New Roman" w:hAnsi="Times New Roman" w:eastAsia="宋体"/>
          <w:b w:val="0"/>
          <w:i w:val="0"/>
          <w:sz w:val="24"/>
        </w:rPr>
        <w:t>其共轭倒序模板为</w:t>
      </w:r>
    </w:p>
    <w:p>
      <w:pPr>
        <w:spacing w:before="60" w:after="60" w:line="240" w:lineRule="auto"/>
        <w:ind w:firstLine="0"/>
        <w:jc w:val="center"/>
      </w:pPr>
      <m:oMath>
        <m:r>
          <m:t>M</m:t>
        </m:r>
        <m:sSub>
          <m:e>
            <m:r>
              <m:t>S</m:t>
            </m:r>
          </m:e>
          <m:sub>
            <m:r>
              <m:t>2</m:t>
            </m:r>
          </m:sub>
        </m:sSub>
        <m:r>
          <m:t>=conj(fliplr(M</m:t>
        </m:r>
        <m:sSub>
          <m:e>
            <m:r>
              <m:t>S</m:t>
            </m:r>
          </m:e>
          <m:sub>
            <m:r>
              <m:t>1</m:t>
            </m:r>
          </m:sub>
        </m:sSub>
        <m:r>
          <m:t>)).</m:t>
        </m:r>
      </m:oMath>
    </w:p>
    <w:p>
      <w:pPr>
        <w:spacing w:before="0" w:after="120" w:line="360" w:lineRule="auto"/>
        <w:ind w:firstLine="420"/>
      </w:pPr>
      <w:r>
        <w:rPr>
          <w:rFonts w:ascii="Times New Roman" w:hAnsi="Times New Roman" w:eastAsia="宋体"/>
          <w:b w:val="0"/>
          <w:i w:val="0"/>
          <w:sz w:val="24"/>
        </w:rPr>
        <w:t>工程上常采用频域脉压思想，即对输入数据和匹配滤波器分别做频域变换，再在频域相乘并反变换得到脉压结果：</w:t>
      </w:r>
    </w:p>
    <w:p>
      <w:pPr>
        <w:spacing w:before="60" w:after="60" w:line="240" w:lineRule="auto"/>
        <w:ind w:firstLine="0"/>
        <w:jc w:val="center"/>
      </w:pPr>
      <m:oMath>
        <m:sSub>
          <m:e>
            <m:r>
              <m:t>S</m:t>
            </m:r>
          </m:e>
          <m:sub>
            <m:r>
              <m:rPr>
                <m:nor/>
              </m:rPr>
              <m:t>DPC</m:t>
            </m:r>
          </m:sub>
        </m:sSub>
        <m:r>
          <m:t>=IFFT(FFT(S)·FFT(M</m:t>
        </m:r>
        <m:sSub>
          <m:e>
            <m:r>
              <m:t>S</m:t>
            </m:r>
          </m:e>
          <m:sub>
            <m:r>
              <m:t>2</m:t>
            </m:r>
          </m:sub>
        </m:sSub>
        <m:r>
          <m:t>)).</m:t>
        </m:r>
      </m:oMath>
    </w:p>
    <w:p>
      <w:pPr>
        <w:spacing w:before="0" w:after="120" w:line="360" w:lineRule="auto"/>
        <w:ind w:firstLine="420"/>
      </w:pPr>
      <w:r>
        <w:rPr>
          <w:rFonts w:ascii="Times New Roman" w:hAnsi="Times New Roman" w:eastAsia="宋体"/>
          <w:b w:val="0"/>
          <w:i w:val="0"/>
          <w:sz w:val="24"/>
        </w:rPr>
        <w:t xml:space="preserve">其中 </w:t>
      </w:r>
      <m:oMath>
        <m:r>
          <m:t>B</m:t>
        </m:r>
      </m:oMath>
      <w:r>
        <w:rPr>
          <w:rFonts w:ascii="Times New Roman" w:hAnsi="Times New Roman" w:eastAsia="宋体"/>
          <w:b w:val="0"/>
          <w:i w:val="0"/>
          <w:sz w:val="24"/>
        </w:rPr>
        <w:t xml:space="preserve"> 为信号带宽，</w:t>
      </w:r>
      <m:oMath>
        <m:r>
          <m:t>τ</m:t>
        </m:r>
      </m:oMath>
      <w:r>
        <w:rPr>
          <w:rFonts w:ascii="Times New Roman" w:hAnsi="Times New Roman" w:eastAsia="宋体"/>
          <w:b w:val="0"/>
          <w:i w:val="0"/>
          <w:sz w:val="24"/>
        </w:rPr>
        <w:t xml:space="preserve"> 为脉冲宽度，</w:t>
      </w:r>
      <m:oMath>
        <m:r>
          <m:t>S</m:t>
        </m:r>
      </m:oMath>
      <w:r>
        <w:rPr>
          <w:rFonts w:ascii="Times New Roman" w:hAnsi="Times New Roman" w:eastAsia="宋体"/>
          <w:b w:val="0"/>
          <w:i w:val="0"/>
          <w:sz w:val="24"/>
        </w:rPr>
        <w:t xml:space="preserve"> 为输入复基带数据。</w:t>
      </w:r>
    </w:p>
    <w:p>
      <w:pPr>
        <w:spacing w:before="0" w:after="120" w:line="360" w:lineRule="auto"/>
        <w:ind w:firstLine="420"/>
      </w:pPr>
      <w:r>
        <w:rPr>
          <w:rFonts w:ascii="Times New Roman" w:hAnsi="Times New Roman" w:eastAsia="宋体"/>
          <w:b w:val="0"/>
          <w:i w:val="0"/>
          <w:sz w:val="24"/>
        </w:rPr>
        <w:t>DPC 处理应能够在保持主瓣分辨能力的同时，控制旁瓣水平，为后续 MTI、MTD、CFAR 和目标参数估计提供更清晰的距离像输入。不同模式下，脉压处理原则一致，但模板参数应与当前工作波形相匹配。</w:t>
      </w:r>
    </w:p>
    <w:p>
      <w:pPr>
        <w:pStyle w:val="Heading3"/>
        <w:spacing w:before="120" w:after="120" w:line="288" w:lineRule="auto"/>
        <w:ind w:firstLine="0"/>
      </w:pPr>
      <w:r>
        <w:rPr>
          <w:rFonts w:ascii="Times New Roman" w:hAnsi="Times New Roman" w:eastAsia="黑体"/>
          <w:b/>
          <w:sz w:val="26"/>
        </w:rPr>
        <w:t>6.5 稀疏处理</w:t>
      </w:r>
    </w:p>
    <w:p>
      <w:pPr>
        <w:spacing w:before="0" w:after="120" w:line="360" w:lineRule="auto"/>
        <w:ind w:firstLine="420"/>
      </w:pPr>
      <w:r>
        <w:rPr>
          <w:rFonts w:ascii="Times New Roman" w:hAnsi="Times New Roman" w:eastAsia="宋体"/>
          <w:b w:val="0"/>
          <w:i w:val="0"/>
          <w:sz w:val="24"/>
        </w:rPr>
        <w:t>稀疏处理的目的，是在检测前对明显不符合目标特征的异常点或稀疏干扰进行预抑制，以减轻后续恒虚警检测负担。其基本思想是：在滑动窗口内对数据模值进行统计，若某些点显著高于局部背景并满足异常判据，则可将其视为稀疏干扰或突发异常点并作抑制处理。</w:t>
      </w:r>
    </w:p>
    <w:p>
      <w:pPr>
        <w:spacing w:before="0" w:after="120" w:line="360" w:lineRule="auto"/>
        <w:ind w:firstLine="420"/>
      </w:pPr>
      <w:r>
        <w:rPr>
          <w:rFonts w:ascii="Times New Roman" w:hAnsi="Times New Roman" w:eastAsia="宋体"/>
          <w:b w:val="0"/>
          <w:i w:val="0"/>
          <w:sz w:val="24"/>
        </w:rPr>
        <w:t>稀疏处理本质上是检测前的预清理步骤，其目标不是替代 CFAR，而是在进入正式检测前降低强孤立杂散对门限估计和目标判决的干扰。稀疏处理后的结果应保持后续主目标信息连续性，不得无依据地损伤真实目标主瓣结构。</w:t>
      </w:r>
    </w:p>
    <w:p>
      <w:pPr>
        <w:pStyle w:val="Heading3"/>
        <w:spacing w:before="120" w:after="120" w:line="288" w:lineRule="auto"/>
        <w:ind w:firstLine="0"/>
      </w:pPr>
      <w:r>
        <w:rPr>
          <w:rFonts w:ascii="Times New Roman" w:hAnsi="Times New Roman" w:eastAsia="黑体"/>
          <w:b/>
          <w:sz w:val="26"/>
        </w:rPr>
        <w:t>6.6 动目标指示（MTI）</w:t>
      </w:r>
    </w:p>
    <w:p>
      <w:pPr>
        <w:spacing w:before="0" w:after="120" w:line="360" w:lineRule="auto"/>
        <w:ind w:firstLine="420"/>
      </w:pPr>
      <w:r>
        <w:rPr>
          <w:rFonts w:ascii="Times New Roman" w:hAnsi="Times New Roman" w:eastAsia="宋体"/>
          <w:b w:val="0"/>
          <w:i w:val="0"/>
          <w:sz w:val="24"/>
        </w:rPr>
        <w:t xml:space="preserve">动目标指示的目的，是通过脉冲间消除或抑制静止杂波和慢变背景，突出运动目标分量。其基本思想是利用相邻脉冲在静止背景下的高度相关性，对多次脉冲回波进行差分处理。以三脉冲对消为例，若某距离单元在第 </w:t>
      </w:r>
      <m:oMath>
        <m:r>
          <m:t>i</m:t>
        </m:r>
      </m:oMath>
      <w:r>
        <w:rPr>
          <w:rFonts w:ascii="Times New Roman" w:hAnsi="Times New Roman" w:eastAsia="宋体"/>
          <w:b w:val="0"/>
          <w:i w:val="0"/>
          <w:sz w:val="24"/>
        </w:rPr>
        <w:t xml:space="preserve"> 次脉冲上的响应记为 </w:t>
      </w:r>
      <m:oMath>
        <m:sSub>
          <m:e>
            <m:r>
              <m:t>S</m:t>
            </m:r>
          </m:e>
          <m:sub>
            <m:r>
              <m:t>i</m:t>
            </m:r>
          </m:sub>
        </m:sSub>
        <m:r>
          <m:t>(n)</m:t>
        </m:r>
      </m:oMath>
      <w:r>
        <w:rPr>
          <w:rFonts w:ascii="Times New Roman" w:hAnsi="Times New Roman" w:eastAsia="宋体"/>
          <w:b w:val="0"/>
          <w:i w:val="0"/>
          <w:sz w:val="24"/>
        </w:rPr>
        <w:t>，则其 MTI 输出可表示为</w:t>
      </w:r>
    </w:p>
    <w:p>
      <w:pPr>
        <w:spacing w:before="60" w:after="60" w:line="240" w:lineRule="auto"/>
        <w:ind w:firstLine="0"/>
        <w:jc w:val="center"/>
      </w:pPr>
      <m:oMath>
        <m:sSubSup>
          <m:e>
            <m:r>
              <m:t>S</m:t>
            </m:r>
          </m:e>
          <m:sub>
            <m:r>
              <m:t>j</m:t>
            </m:r>
          </m:sub>
          <m:sup>
            <m:r>
              <m:t>MTI</m:t>
            </m:r>
          </m:sup>
        </m:sSubSup>
        <m:r>
          <m:t>(n)=</m:t>
        </m:r>
        <m:sSub>
          <m:e>
            <m:r>
              <m:t>S</m:t>
            </m:r>
          </m:e>
          <m:sub>
            <m:r>
              <m:t>i</m:t>
            </m:r>
          </m:sub>
        </m:sSub>
        <m:r>
          <m:t>(n)−2</m:t>
        </m:r>
        <m:sSub>
          <m:e>
            <m:r>
              <m:t>S</m:t>
            </m:r>
          </m:e>
          <m:sub>
            <m:r>
              <m:t>i−1</m:t>
            </m:r>
          </m:sub>
        </m:sSub>
        <m:r>
          <m:t>(n)+</m:t>
        </m:r>
        <m:sSub>
          <m:e>
            <m:r>
              <m:t>S</m:t>
            </m:r>
          </m:e>
          <m:sub>
            <m:r>
              <m:t>i−2</m:t>
            </m:r>
          </m:sub>
        </m:sSub>
        <m:r>
          <m:t>(n)</m:t>
        </m:r>
      </m:oMath>
    </w:p>
    <w:p>
      <w:pPr>
        <w:spacing w:before="0" w:after="120" w:line="360" w:lineRule="auto"/>
        <w:ind w:firstLine="420"/>
      </w:pPr>
      <w:r>
        <w:rPr>
          <w:rFonts w:ascii="Times New Roman" w:hAnsi="Times New Roman" w:eastAsia="宋体"/>
          <w:b w:val="0"/>
          <w:i w:val="0"/>
          <w:sz w:val="24"/>
        </w:rPr>
        <w:t xml:space="preserve">其中 </w:t>
      </w:r>
      <m:oMath>
        <m:r>
          <m:t>j=i−2</m:t>
        </m:r>
      </m:oMath>
      <w:r>
        <w:rPr>
          <w:rFonts w:ascii="Times New Roman" w:hAnsi="Times New Roman" w:eastAsia="宋体"/>
          <w:b w:val="0"/>
          <w:i w:val="0"/>
          <w:sz w:val="24"/>
        </w:rPr>
        <w:t>。该处理可有效抑制零多普勒附近的静止杂波成分。</w:t>
      </w:r>
    </w:p>
    <w:p>
      <w:pPr>
        <w:spacing w:before="0" w:after="120" w:line="360" w:lineRule="auto"/>
        <w:ind w:firstLine="420"/>
      </w:pPr>
      <w:r>
        <w:rPr>
          <w:rFonts w:ascii="Times New Roman" w:hAnsi="Times New Roman" w:eastAsia="宋体"/>
          <w:b w:val="0"/>
          <w:i w:val="0"/>
          <w:sz w:val="24"/>
        </w:rPr>
        <w:t>MTI 的理论要求，是在不显著损伤目标可检测性的前提下，对静止或低速背景进行抑制。其输出将直接影响后续多普勒 FFT 结果和检测性能，因此 MTI 的输入应与距离通道对齐，并保持脉冲序列关系正确。</w:t>
      </w:r>
    </w:p>
    <w:p>
      <w:pPr>
        <w:pStyle w:val="Heading3"/>
        <w:spacing w:before="120" w:after="120" w:line="288" w:lineRule="auto"/>
        <w:ind w:firstLine="0"/>
      </w:pPr>
      <w:r>
        <w:rPr>
          <w:rFonts w:ascii="Times New Roman" w:hAnsi="Times New Roman" w:eastAsia="黑体"/>
          <w:b/>
          <w:sz w:val="26"/>
        </w:rPr>
        <w:t>6.7 动目标检测（MTD）</w:t>
      </w:r>
    </w:p>
    <w:p>
      <w:pPr>
        <w:spacing w:before="0" w:after="120" w:line="360" w:lineRule="auto"/>
        <w:ind w:firstLine="420"/>
      </w:pPr>
      <w:r>
        <w:rPr>
          <w:rFonts w:ascii="Times New Roman" w:hAnsi="Times New Roman" w:eastAsia="宋体"/>
          <w:b w:val="0"/>
          <w:i w:val="0"/>
          <w:sz w:val="24"/>
        </w:rPr>
        <w:t xml:space="preserve">动目标检测的目的，是对同一距离单元在多个脉冲上的响应进行频域分析，获得目标的多普勒特征，从而实现速度维分辨。其基本思想是：以距离单元为索引，对跨脉冲序列进行离散傅里叶变换。若某距离单元经 MTI 处理后的脉冲序列记为 </w:t>
      </w:r>
      <m:oMath>
        <m:sSubSup>
          <m:e>
            <m:r>
              <m:t>S</m:t>
            </m:r>
          </m:e>
          <m:sub>
            <m:r>
              <m:t>1</m:t>
            </m:r>
          </m:sub>
          <m:sup>
            <m:r>
              <m:t>MTI</m:t>
            </m:r>
          </m:sup>
        </m:sSubSup>
        <m:r>
          <m:t>(n),…,</m:t>
        </m:r>
        <m:sSubSup>
          <m:e>
            <m:r>
              <m:t>S</m:t>
            </m:r>
          </m:e>
          <m:sub>
            <m:r>
              <m:t>K</m:t>
            </m:r>
          </m:sub>
          <m:sup>
            <m:r>
              <m:t>MTI</m:t>
            </m:r>
          </m:sup>
        </m:sSubSup>
        <m:r>
          <m:t>(n)</m:t>
        </m:r>
      </m:oMath>
      <w:r>
        <w:rPr>
          <w:rFonts w:ascii="Times New Roman" w:hAnsi="Times New Roman" w:eastAsia="宋体"/>
          <w:b w:val="0"/>
          <w:i w:val="0"/>
          <w:sz w:val="24"/>
        </w:rPr>
        <w:t>，则其多普勒谱可表示为</w:t>
      </w:r>
    </w:p>
    <w:p>
      <w:pPr>
        <w:spacing w:before="60" w:after="60" w:line="240" w:lineRule="auto"/>
        <w:ind w:firstLine="0"/>
        <w:jc w:val="center"/>
      </w:pPr>
      <m:oMath>
        <m:sSup>
          <m:e>
            <m:r>
              <m:t>S</m:t>
            </m:r>
          </m:e>
          <m:sup>
            <m:r>
              <m:t>MTD</m:t>
            </m:r>
          </m:sup>
        </m:sSup>
        <m:r>
          <m:t>(n)=FFT</m:t>
        </m:r>
        <m:d>
          <m:dPr>
            <m:sepChr m:val=""/>
          </m:dPr>
          <m:e>
            <m:sSubSup>
              <m:e>
                <m:r>
                  <m:t>S</m:t>
                </m:r>
              </m:e>
              <m:sub>
                <m:r>
                  <m:t>1</m:t>
                </m:r>
              </m:sub>
              <m:sup>
                <m:r>
                  <m:t>MTI</m:t>
                </m:r>
              </m:sup>
            </m:sSubSup>
            <m:r>
              <m:t>(</m:t>
            </m:r>
            <m:r>
              <m:t>n</m:t>
            </m:r>
            <m:r>
              <m:t>)</m:t>
            </m:r>
            <m:r>
              <m:t>,</m:t>
            </m:r>
            <m:r>
              <m:t>…</m:t>
            </m:r>
            <m:r>
              <m:t>,</m:t>
            </m:r>
            <m:sSubSup>
              <m:e>
                <m:r>
                  <m:t>S</m:t>
                </m:r>
              </m:e>
              <m:sub>
                <m:r>
                  <m:t>K</m:t>
                </m:r>
              </m:sub>
              <m:sup>
                <m:r>
                  <m:t>MTI</m:t>
                </m:r>
              </m:sup>
            </m:sSubSup>
            <m:r>
              <m:t>(</m:t>
            </m:r>
            <m:r>
              <m:t>n</m:t>
            </m:r>
            <m:r>
              <m:t>)</m:t>
            </m:r>
          </m:e>
        </m:d>
      </m:oMath>
    </w:p>
    <w:p>
      <w:pPr>
        <w:spacing w:before="0" w:after="120" w:line="360" w:lineRule="auto"/>
        <w:ind w:firstLine="420"/>
      </w:pPr>
      <w:r>
        <w:rPr>
          <w:rFonts w:ascii="Times New Roman" w:hAnsi="Times New Roman" w:eastAsia="宋体"/>
          <w:b w:val="0"/>
          <w:i w:val="0"/>
          <w:sz w:val="24"/>
        </w:rPr>
        <w:t xml:space="preserve">其中 </w:t>
      </w:r>
      <m:oMath>
        <m:r>
          <m:t>K</m:t>
        </m:r>
      </m:oMath>
      <w:r>
        <w:rPr>
          <w:rFonts w:ascii="Times New Roman" w:hAnsi="Times New Roman" w:eastAsia="宋体"/>
          <w:b w:val="0"/>
          <w:i w:val="0"/>
          <w:sz w:val="24"/>
        </w:rPr>
        <w:t xml:space="preserve"> 为参与处理的脉冲数。</w:t>
      </w:r>
    </w:p>
    <w:p>
      <w:pPr>
        <w:spacing w:before="0" w:after="120" w:line="360" w:lineRule="auto"/>
        <w:ind w:firstLine="420"/>
      </w:pPr>
      <w:r>
        <w:rPr>
          <w:rFonts w:ascii="Times New Roman" w:hAnsi="Times New Roman" w:eastAsia="宋体"/>
          <w:b w:val="0"/>
          <w:i w:val="0"/>
          <w:sz w:val="24"/>
        </w:rPr>
        <w:t>MTD 的理论要求，是在距离维和速度维上形成二维检测基础数据，为后续 CFAR 检测、目标合并和速度参数提取提供依据。MTD 输出应保持各速度通道与当前 CPI 上下文的一致性，不得脱离当前脉冲序列单独解释。</w:t>
      </w:r>
    </w:p>
    <w:p>
      <w:pPr>
        <w:pStyle w:val="Heading3"/>
        <w:spacing w:before="120" w:after="120" w:line="288" w:lineRule="auto"/>
        <w:ind w:firstLine="0"/>
      </w:pPr>
      <w:r>
        <w:rPr>
          <w:rFonts w:ascii="Times New Roman" w:hAnsi="Times New Roman" w:eastAsia="黑体"/>
          <w:b/>
          <w:sz w:val="26"/>
        </w:rPr>
        <w:t>6.8 恒虚警检测与目标合并（CFAR）</w:t>
      </w:r>
    </w:p>
    <w:p>
      <w:pPr>
        <w:spacing w:before="0" w:after="120" w:line="360" w:lineRule="auto"/>
        <w:ind w:firstLine="420"/>
      </w:pPr>
      <w:r>
        <w:rPr>
          <w:rFonts w:ascii="Times New Roman" w:hAnsi="Times New Roman" w:eastAsia="宋体"/>
          <w:b w:val="0"/>
          <w:i w:val="0"/>
          <w:sz w:val="24"/>
        </w:rPr>
        <w:t xml:space="preserve">恒虚警检测的目的，是在噪声、杂波和背景变化条件下，自适应形成检测门限，并以尽量稳定的虚警概率判定目标。其基本思想是：先对距离-多普勒单元取模，形成幅度或功率域检测量，再根据参考单元统计背景噪声水平，构造门限并完成检测。若检测量记为 </w:t>
      </w:r>
      <m:oMath>
        <m:sSub>
          <m:e>
            <m:r>
              <m:t>S</m:t>
            </m:r>
          </m:e>
          <m:sub>
            <m:r>
              <m:t>M</m:t>
            </m:r>
          </m:sub>
        </m:sSub>
      </m:oMath>
      <w:r>
        <w:rPr>
          <w:rFonts w:ascii="Times New Roman" w:hAnsi="Times New Roman" w:eastAsia="宋体"/>
          <w:b w:val="0"/>
          <w:i w:val="0"/>
          <w:sz w:val="24"/>
        </w:rPr>
        <w:t xml:space="preserve">，背景噪声估计为 </w:t>
      </w:r>
      <m:oMath>
        <m:r>
          <m:t>σ</m:t>
        </m:r>
      </m:oMath>
      <w:r>
        <w:rPr>
          <w:rFonts w:ascii="Times New Roman" w:hAnsi="Times New Roman" w:eastAsia="宋体"/>
          <w:b w:val="0"/>
          <w:i w:val="0"/>
          <w:sz w:val="24"/>
        </w:rPr>
        <w:t>，则基本门限关系可表示为</w:t>
      </w:r>
    </w:p>
    <w:p>
      <w:pPr>
        <w:spacing w:before="60" w:after="60" w:line="240" w:lineRule="auto"/>
        <w:ind w:firstLine="0"/>
        <w:jc w:val="center"/>
      </w:pPr>
      <m:oMath>
        <m:sSub>
          <m:e>
            <m:r>
              <m:t>S</m:t>
            </m:r>
          </m:e>
          <m:sub>
            <m:r>
              <m:t>h</m:t>
            </m:r>
          </m:sub>
        </m:sSub>
        <m:r>
          <m:t>=Kσ</m:t>
        </m:r>
      </m:oMath>
    </w:p>
    <w:p>
      <w:pPr>
        <w:spacing w:before="0" w:after="120" w:line="360" w:lineRule="auto"/>
        <w:ind w:firstLine="420"/>
      </w:pPr>
      <w:r>
        <w:rPr>
          <w:rFonts w:ascii="Times New Roman" w:hAnsi="Times New Roman" w:eastAsia="宋体"/>
          <w:b w:val="0"/>
          <w:i w:val="0"/>
          <w:sz w:val="24"/>
        </w:rPr>
        <w:t xml:space="preserve">其中 </w:t>
      </w:r>
      <m:oMath>
        <m:r>
          <m:t>K</m:t>
        </m:r>
      </m:oMath>
      <w:r>
        <w:rPr>
          <w:rFonts w:ascii="Times New Roman" w:hAnsi="Times New Roman" w:eastAsia="宋体"/>
          <w:b w:val="0"/>
          <w:i w:val="0"/>
          <w:sz w:val="24"/>
        </w:rPr>
        <w:t xml:space="preserve"> 为门限系数。</w:t>
      </w:r>
    </w:p>
    <w:p>
      <w:pPr>
        <w:spacing w:before="0" w:after="120" w:line="360" w:lineRule="auto"/>
        <w:ind w:firstLine="420"/>
      </w:pPr>
      <w:r>
        <w:rPr>
          <w:rFonts w:ascii="Times New Roman" w:hAnsi="Times New Roman" w:eastAsia="宋体"/>
          <w:b w:val="0"/>
          <w:i w:val="0"/>
          <w:sz w:val="24"/>
        </w:rPr>
        <w:t>在完成单元级检测后，应对检测结果进行目标合并与筛选。其目的，是将同一目标在邻近距离单元、速度单元上的响应进行归并，形成有限数量的稳定目标候选，并按任务要求输出距离通道号、速度通道号及相关幅度信息。目标合并应避免把同一目标的主瓣和旁瓣误判为多个独立目标。</w:t>
      </w:r>
    </w:p>
    <w:p>
      <w:pPr>
        <w:pStyle w:val="Heading3"/>
        <w:spacing w:before="120" w:after="120" w:line="288" w:lineRule="auto"/>
        <w:ind w:firstLine="0"/>
      </w:pPr>
      <w:r>
        <w:rPr>
          <w:rFonts w:ascii="Times New Roman" w:hAnsi="Times New Roman" w:eastAsia="黑体"/>
          <w:b/>
          <w:sz w:val="26"/>
        </w:rPr>
        <w:t>6.9 旁瓣匿影</w:t>
      </w:r>
    </w:p>
    <w:p>
      <w:pPr>
        <w:spacing w:before="0" w:after="120" w:line="360" w:lineRule="auto"/>
        <w:ind w:firstLine="420"/>
      </w:pPr>
      <w:r>
        <w:rPr>
          <w:rFonts w:ascii="Times New Roman" w:hAnsi="Times New Roman" w:eastAsia="宋体"/>
          <w:b w:val="0"/>
          <w:i w:val="0"/>
          <w:sz w:val="24"/>
        </w:rPr>
        <w:t>旁瓣匿影的目的，是利用辅助通道、差通道或其他旁证信息，对由主瓣外强干扰或旁瓣泄漏引起的伪目标进行抑制。其基本思想是：根据辅助通道或其他参考输出估计某单元可能的旁瓣干扰水平，并将其转化为附加门限，与原有 CFAR 门限共同决定最终检测门限。</w:t>
      </w:r>
    </w:p>
    <w:p>
      <w:pPr>
        <w:spacing w:before="0" w:after="120" w:line="360" w:lineRule="auto"/>
        <w:ind w:firstLine="420"/>
      </w:pPr>
      <w:r>
        <w:rPr>
          <w:rFonts w:ascii="Times New Roman" w:hAnsi="Times New Roman" w:eastAsia="宋体"/>
          <w:b w:val="0"/>
          <w:i w:val="0"/>
          <w:sz w:val="24"/>
        </w:rPr>
        <w:t>旁瓣匿影的理论要求，是在不显著降低主瓣真实目标检测概率的前提下，减少旁瓣方向上强散射或干扰引起的误警。该处理通常作为检测门限修正机制的一部分，而不是独立替代主检测算法。</w:t>
      </w:r>
    </w:p>
    <w:p>
      <w:pPr>
        <w:pStyle w:val="Heading3"/>
        <w:spacing w:before="120" w:after="120" w:line="288" w:lineRule="auto"/>
        <w:ind w:firstLine="0"/>
      </w:pPr>
      <w:r>
        <w:rPr>
          <w:rFonts w:ascii="Times New Roman" w:hAnsi="Times New Roman" w:eastAsia="黑体"/>
          <w:b/>
          <w:sz w:val="26"/>
        </w:rPr>
        <w:t>6.10 杂波图计算</w:t>
      </w:r>
    </w:p>
    <w:p>
      <w:pPr>
        <w:spacing w:before="0" w:after="120" w:line="360" w:lineRule="auto"/>
        <w:ind w:firstLine="420"/>
      </w:pPr>
      <w:r>
        <w:rPr>
          <w:rFonts w:ascii="Times New Roman" w:hAnsi="Times New Roman" w:eastAsia="宋体"/>
          <w:b w:val="0"/>
          <w:i w:val="0"/>
          <w:sz w:val="24"/>
        </w:rPr>
        <w:t>杂波图计算的目的，是在空间位置和工作条件相对稳定的情况下，建立背景杂波统计模型，用于后续门限修正和目标筛选。其基本思想是：按距离、方位、俯仰及工作条件等维度对背景能量进行长期或短期积累，形成对应位置的参考杂波电平；在后续检测时，将当前回波与历史杂波水平进行比较，以辅助识别目标与背景。</w:t>
      </w:r>
    </w:p>
    <w:p>
      <w:pPr>
        <w:spacing w:before="0" w:after="120" w:line="360" w:lineRule="auto"/>
        <w:ind w:firstLine="420"/>
      </w:pPr>
      <w:r>
        <w:rPr>
          <w:rFonts w:ascii="Times New Roman" w:hAnsi="Times New Roman" w:eastAsia="宋体"/>
          <w:b w:val="0"/>
          <w:i w:val="0"/>
          <w:sz w:val="24"/>
        </w:rPr>
        <w:t>杂波图的理论作用有两方面：一是为 CFAR 提供额外的背景参考，改善非均匀背景下的门限稳定性；二是为目标后筛选提供参考，降低固定杂波、地物反射和稳定背景散射带来的误警。杂波图本质上是背景建模手段，其更新与使用应始终服务于检测性能改进。</w:t>
      </w:r>
    </w:p>
    <w:p>
      <w:pPr>
        <w:pStyle w:val="Heading3"/>
        <w:spacing w:before="120" w:after="120" w:line="288" w:lineRule="auto"/>
        <w:ind w:firstLine="0"/>
      </w:pPr>
      <w:r>
        <w:rPr>
          <w:rFonts w:ascii="Times New Roman" w:hAnsi="Times New Roman" w:eastAsia="黑体"/>
          <w:b/>
          <w:sz w:val="26"/>
        </w:rPr>
        <w:t>6.11 目标参数获取</w:t>
      </w:r>
    </w:p>
    <w:p>
      <w:pPr>
        <w:spacing w:before="0" w:after="120" w:line="360" w:lineRule="auto"/>
        <w:ind w:firstLine="420"/>
      </w:pPr>
      <w:r>
        <w:rPr>
          <w:rFonts w:ascii="Times New Roman" w:hAnsi="Times New Roman" w:eastAsia="宋体"/>
          <w:b w:val="0"/>
          <w:i w:val="0"/>
          <w:sz w:val="24"/>
        </w:rPr>
        <w:t>目标参数获取的目的，是在检测结果基础上提取目标的距离、速度和角度等主要参数。距离测量通常依据脉压后包络峰值及其邻域加权插值完成。若采用幅度加权测距，则可用邻域采样点对时延作加权估计，再换算为距离。速度测量通常依据 MTD 后的最大响应速度通道确定。</w:t>
      </w:r>
    </w:p>
    <w:p>
      <w:pPr>
        <w:spacing w:before="0" w:after="120" w:line="360" w:lineRule="auto"/>
        <w:ind w:firstLine="420"/>
      </w:pPr>
      <w:r>
        <w:rPr>
          <w:rFonts w:ascii="Times New Roman" w:hAnsi="Times New Roman" w:eastAsia="宋体"/>
          <w:b w:val="0"/>
          <w:i w:val="0"/>
          <w:sz w:val="24"/>
        </w:rPr>
        <w:t xml:space="preserve">角度测量通常建立在和波束与差波束输出基础上。其基本思想是利用差波束与和波束的幅相比和相位差关系，构造角误差信号，并据此求取目标在方位和俯仰上的偏差。若和波束最大响应为 </w:t>
      </w:r>
      <m:oMath>
        <m:sSub>
          <m:e>
            <m:r>
              <m:t>f</m:t>
            </m:r>
          </m:e>
          <m:sub>
            <m:r>
              <m:t>Σmax</m:t>
            </m:r>
          </m:sub>
        </m:sSub>
      </m:oMath>
      <w:r>
        <w:rPr>
          <w:rFonts w:ascii="Times New Roman" w:hAnsi="Times New Roman" w:eastAsia="宋体"/>
          <w:b w:val="0"/>
          <w:i w:val="0"/>
          <w:sz w:val="24"/>
        </w:rPr>
        <w:t xml:space="preserve">，方位差和俯仰差最大响应分别为 </w:t>
      </w:r>
      <m:oMath>
        <m:sSub>
          <m:e>
            <m:r>
              <m:t>f</m:t>
            </m:r>
          </m:e>
          <m:sub>
            <m:r>
              <m:t>εΔmax</m:t>
            </m:r>
          </m:sub>
        </m:sSub>
      </m:oMath>
      <w:r>
        <w:rPr>
          <w:rFonts w:ascii="Times New Roman" w:hAnsi="Times New Roman" w:eastAsia="宋体"/>
          <w:b w:val="0"/>
          <w:i w:val="0"/>
          <w:sz w:val="24"/>
        </w:rPr>
        <w:t xml:space="preserve"> 与 </w:t>
      </w:r>
      <m:oMath>
        <m:sSub>
          <m:e>
            <m:r>
              <m:t>f</m:t>
            </m:r>
          </m:e>
          <m:sub>
            <m:r>
              <m:t>βΔmax</m:t>
            </m:r>
          </m:sub>
        </m:sSub>
      </m:oMath>
      <w:r>
        <w:rPr>
          <w:rFonts w:ascii="Times New Roman" w:hAnsi="Times New Roman" w:eastAsia="宋体"/>
          <w:b w:val="0"/>
          <w:i w:val="0"/>
          <w:sz w:val="24"/>
        </w:rPr>
        <w:t>，则可构造如下：</w:t>
      </w:r>
    </w:p>
    <w:p>
      <w:pPr>
        <w:spacing w:before="60" w:after="60" w:line="240" w:lineRule="auto"/>
        <w:ind w:firstLine="0"/>
        <w:jc w:val="center"/>
      </w:pPr>
      <m:oMath>
        <m:r>
          <m:t>co</m:t>
        </m:r>
        <m:sSub>
          <m:e>
            <m:r>
              <m:t>e</m:t>
            </m:r>
          </m:e>
          <m:sub>
            <m:r>
              <m:t>βΔ</m:t>
            </m:r>
          </m:sub>
        </m:sSub>
        <m:r>
          <m:t>=</m:t>
        </m:r>
        <m:d>
          <m:dPr>
            <m:begChr m:val="|"/>
            <m:sepChr m:val=""/>
            <m:endChr m:val="|"/>
          </m:dPr>
          <m:e>
            <m:f>
              <m:fPr>
                <m:type m:val="bar"/>
              </m:fPr>
              <m:num>
                <m:sSub>
                  <m:e>
                    <m:r>
                      <m:t>f</m:t>
                    </m:r>
                  </m:e>
                  <m:sub>
                    <m:r>
                      <m:t>βΔmax</m:t>
                    </m:r>
                  </m:sub>
                </m:sSub>
              </m:num>
              <m:den>
                <m:sSub>
                  <m:e>
                    <m:r>
                      <m:t>f</m:t>
                    </m:r>
                  </m:e>
                  <m:sub>
                    <m:r>
                      <m:t>Σmax</m:t>
                    </m:r>
                  </m:sub>
                </m:sSub>
              </m:den>
            </m:f>
          </m:e>
        </m:d>
        <m:r>
          <m:rPr>
            <m:sty m:val="p"/>
          </m:rPr>
          <m:t>cos</m:t>
        </m:r>
        <m:d>
          <m:dPr>
            <m:sepChr m:val="−"/>
          </m:dPr>
          <m:e>
            <m:r>
              <m:t>φ</m:t>
            </m:r>
            <m:d>
              <m:dPr>
                <m:sepChr m:val=""/>
              </m:dPr>
              <m:e>
                <m:sSub>
                  <m:e>
                    <m:r>
                      <m:t>f</m:t>
                    </m:r>
                  </m:e>
                  <m:sub>
                    <m:r>
                      <m:t>βΔmax</m:t>
                    </m:r>
                  </m:sub>
                </m:sSub>
              </m:e>
            </m:d>
          </m:e>
          <m:e>
            <m:r>
              <m:t>φ</m:t>
            </m:r>
            <m:d>
              <m:dPr>
                <m:sepChr m:val=""/>
              </m:dPr>
              <m:e>
                <m:sSub>
                  <m:e>
                    <m:r>
                      <m:t>f</m:t>
                    </m:r>
                  </m:e>
                  <m:sub>
                    <m:r>
                      <m:t>Σmax</m:t>
                    </m:r>
                  </m:sub>
                </m:sSub>
              </m:e>
            </m:d>
          </m:e>
        </m:d>
      </m:oMath>
    </w:p>
    <w:p>
      <w:pPr>
        <w:spacing w:before="60" w:after="60" w:line="240" w:lineRule="auto"/>
        <w:ind w:firstLine="0"/>
        <w:jc w:val="center"/>
      </w:pPr>
      <m:oMath>
        <m:r>
          <m:t>co</m:t>
        </m:r>
        <m:sSub>
          <m:e>
            <m:r>
              <m:t>e</m:t>
            </m:r>
          </m:e>
          <m:sub>
            <m:r>
              <m:t>εΔ</m:t>
            </m:r>
          </m:sub>
        </m:sSub>
        <m:r>
          <m:t>=</m:t>
        </m:r>
        <m:d>
          <m:dPr>
            <m:begChr m:val="|"/>
            <m:sepChr m:val=""/>
            <m:endChr m:val="|"/>
          </m:dPr>
          <m:e>
            <m:f>
              <m:fPr>
                <m:type m:val="bar"/>
              </m:fPr>
              <m:num>
                <m:sSub>
                  <m:e>
                    <m:r>
                      <m:t>f</m:t>
                    </m:r>
                  </m:e>
                  <m:sub>
                    <m:r>
                      <m:t>εΔmax</m:t>
                    </m:r>
                  </m:sub>
                </m:sSub>
              </m:num>
              <m:den>
                <m:sSub>
                  <m:e>
                    <m:r>
                      <m:t>f</m:t>
                    </m:r>
                  </m:e>
                  <m:sub>
                    <m:r>
                      <m:t>Σmax</m:t>
                    </m:r>
                  </m:sub>
                </m:sSub>
              </m:den>
            </m:f>
          </m:e>
        </m:d>
        <m:r>
          <m:rPr>
            <m:sty m:val="p"/>
          </m:rPr>
          <m:t>cos</m:t>
        </m:r>
        <m:d>
          <m:dPr>
            <m:sepChr m:val="−"/>
          </m:dPr>
          <m:e>
            <m:r>
              <m:t>φ</m:t>
            </m:r>
            <m:d>
              <m:dPr>
                <m:sepChr m:val=""/>
              </m:dPr>
              <m:e>
                <m:sSub>
                  <m:e>
                    <m:r>
                      <m:t>f</m:t>
                    </m:r>
                  </m:e>
                  <m:sub>
                    <m:r>
                      <m:t>εΔmax</m:t>
                    </m:r>
                  </m:sub>
                </m:sSub>
              </m:e>
            </m:d>
          </m:e>
          <m:e>
            <m:r>
              <m:t>φ</m:t>
            </m:r>
            <m:d>
              <m:dPr>
                <m:sepChr m:val=""/>
              </m:dPr>
              <m:e>
                <m:sSub>
                  <m:e>
                    <m:r>
                      <m:t>f</m:t>
                    </m:r>
                  </m:e>
                  <m:sub>
                    <m:r>
                      <m:t>Σmax</m:t>
                    </m:r>
                  </m:sub>
                </m:sSub>
              </m:e>
            </m:d>
          </m:e>
        </m:d>
      </m:oMath>
    </w:p>
    <w:p>
      <w:pPr>
        <w:spacing w:before="0" w:after="120" w:line="360" w:lineRule="auto"/>
        <w:ind w:firstLine="420"/>
      </w:pPr>
      <w:r>
        <w:rPr>
          <w:rFonts w:ascii="Times New Roman" w:hAnsi="Times New Roman" w:eastAsia="宋体"/>
          <w:b w:val="0"/>
          <w:i w:val="0"/>
          <w:sz w:val="24"/>
        </w:rPr>
        <w:t>的角误差系数，用于后续角度估计。</w:t>
      </w:r>
    </w:p>
    <w:p>
      <w:pPr>
        <w:pStyle w:val="Heading3"/>
        <w:spacing w:before="120" w:after="120" w:line="288" w:lineRule="auto"/>
        <w:ind w:firstLine="0"/>
      </w:pPr>
      <w:r>
        <w:rPr>
          <w:rFonts w:ascii="Times New Roman" w:hAnsi="Times New Roman" w:eastAsia="黑体"/>
          <w:b/>
          <w:sz w:val="26"/>
        </w:rPr>
        <w:t>6.12 目标数据打包</w:t>
      </w:r>
    </w:p>
    <w:p>
      <w:pPr>
        <w:spacing w:before="0" w:after="120" w:line="360" w:lineRule="auto"/>
        <w:ind w:firstLine="420"/>
      </w:pPr>
      <w:r>
        <w:rPr>
          <w:rFonts w:ascii="Times New Roman" w:hAnsi="Times New Roman" w:eastAsia="宋体"/>
          <w:b w:val="0"/>
          <w:i w:val="0"/>
          <w:sz w:val="24"/>
        </w:rPr>
        <w:t>目标数据打包的目的，是将检测和参数估计所得结果组织为可供下游模块直接消费的结构化对象。其内容应至少包括目标的距离、速度、角度或相关通道信息，以及必要的幅度、相位、噪声背景、参数快照关联信息和质量标记。对需要进一步目标级处理的场景，还可围绕检测单元提取邻域 I/Q 数据、局部包络或相关辅助信息，作为后续精处理输入。</w:t>
      </w:r>
    </w:p>
    <w:p>
      <w:pPr>
        <w:spacing w:before="0" w:after="120" w:line="360" w:lineRule="auto"/>
        <w:ind w:firstLine="420"/>
      </w:pPr>
      <w:r>
        <w:rPr>
          <w:rFonts w:ascii="Times New Roman" w:hAnsi="Times New Roman" w:eastAsia="宋体"/>
          <w:b w:val="0"/>
          <w:i w:val="0"/>
          <w:sz w:val="24"/>
        </w:rPr>
        <w:t>目标数据打包是算法输出对象的规范化过程，其要求是：既能够反映目标的主要检测与估计结果，又能够保留足够的上下文，使后续处理、回放分析和问题定位与追溯具备依据。</w:t>
      </w:r>
    </w:p>
    <w:p>
      <w:pPr>
        <w:pStyle w:val="Heading3"/>
        <w:spacing w:before="120" w:after="120" w:line="288" w:lineRule="auto"/>
        <w:ind w:firstLine="0"/>
      </w:pPr>
      <w:r>
        <w:rPr>
          <w:rFonts w:ascii="Times New Roman" w:hAnsi="Times New Roman" w:eastAsia="黑体"/>
          <w:b/>
          <w:sz w:val="26"/>
        </w:rPr>
        <w:t>6.13 算法质量标记与异常标记</w:t>
      </w:r>
    </w:p>
    <w:p>
      <w:pPr>
        <w:spacing w:before="0" w:after="120" w:line="360" w:lineRule="auto"/>
        <w:ind w:firstLine="420"/>
      </w:pPr>
      <w:r>
        <w:rPr>
          <w:rFonts w:ascii="Times New Roman" w:hAnsi="Times New Roman" w:eastAsia="宋体"/>
          <w:b w:val="0"/>
          <w:i w:val="0"/>
          <w:sz w:val="24"/>
        </w:rPr>
        <w:t>算法质量标记与异常标记的目的，是对处理结果的可信度、完整性和异常情况进行显式表达。质量标记可用于表征当前结果的处理链完整性、估计稳定性、检测置信度和上下文一致性；异常标记可用于表征输入数据缺陷、参数快照不一致、处理链中断、背景异常、结果失真或不满足主算法使用条件等情况。</w:t>
      </w:r>
    </w:p>
    <w:p>
      <w:pPr>
        <w:spacing w:before="0" w:after="120" w:line="360" w:lineRule="auto"/>
        <w:ind w:firstLine="420"/>
      </w:pPr>
      <w:r>
        <w:rPr>
          <w:rFonts w:ascii="Times New Roman" w:hAnsi="Times New Roman" w:eastAsia="宋体"/>
          <w:b w:val="0"/>
          <w:i w:val="0"/>
          <w:sz w:val="24"/>
        </w:rPr>
        <w:t>算法输出不得只给“有无目标”的单一结论，而应同时给出与结果相关的质量或异常信息，以便下游模块区分“正常目标结果”“受限可用结果”和“异常结果”。质量标记与异常标记应作为算法结果的正式组成部分之一，与目标数据及参数快照关联输出。</w:t>
      </w:r>
    </w:p>
    <w:p>
      <w:pPr>
        <w:pStyle w:val="Heading3"/>
        <w:spacing w:before="120" w:after="120" w:line="288" w:lineRule="auto"/>
        <w:ind w:firstLine="0"/>
      </w:pPr>
      <w:r>
        <w:rPr>
          <w:rFonts w:ascii="Times New Roman" w:hAnsi="Times New Roman" w:eastAsia="黑体"/>
          <w:b/>
          <w:sz w:val="26"/>
        </w:rPr>
        <w:t>6.14 CPU/GPU 协同处理要求</w:t>
      </w:r>
    </w:p>
    <w:p>
      <w:pPr>
        <w:spacing w:before="0" w:after="120" w:line="360" w:lineRule="auto"/>
        <w:ind w:firstLine="420"/>
      </w:pPr>
      <w:r>
        <w:rPr>
          <w:rFonts w:ascii="Times New Roman" w:hAnsi="Times New Roman" w:eastAsia="宋体"/>
          <w:b w:val="0"/>
          <w:i w:val="0"/>
          <w:sz w:val="24"/>
        </w:rPr>
        <w:t>本软件应支持对高并行、批量化、计算密集型算法环节进行 GPU 加速处理，重点包括但不限于数字下变频后的批量复数运算、数字波束形成、频域脉冲压缩、跨脉冲多普勒处理、检测前后的批量谱域处理等。GPU 加速处理不改变算法数学定义和输入输出语义；同一数据单元在 CPU 与 GPU 之间流转时，其参数快照、模式上下文和质量/异常标记必须保持一致。CPU 侧主要承担流程控制、上下文绑定、模式切换、异常处理、结果整理和状态输出等职责。</w:t>
      </w:r>
    </w:p>
    <w:p>
      <w:pPr>
        <w:spacing w:before="0" w:after="120" w:line="360" w:lineRule="auto"/>
        <w:ind w:firstLine="420"/>
      </w:pPr>
      <w:r>
        <w:rPr>
          <w:rFonts w:ascii="Times New Roman" w:hAnsi="Times New Roman" w:eastAsia="宋体"/>
          <w:b w:val="0"/>
          <w:i w:val="0"/>
          <w:sz w:val="24"/>
        </w:rPr>
        <w:t>CPU/GPU 协同处理应至少满足以下要求：一是同一数据单元在不同处理部件间流转时，其参数快照和运行上下文不得丢失或错配；二是加速处理前后结果应保持数学定义一致，不能因处理部件不同而改变算法语义；三是不同工作模式下的算法链切换应保持输入输出定义稳定；四是异常、降级和中断情况下，结果仍应能够返回明确的质量或异常标记。</w:t>
      </w:r>
    </w:p>
    <w:p>
      <w:pPr>
        <w:pStyle w:val="Heading2"/>
        <w:spacing w:before="240" w:after="120" w:line="288" w:lineRule="auto"/>
        <w:ind w:firstLine="0"/>
      </w:pPr>
      <w:r>
        <w:rPr>
          <w:rFonts w:ascii="Times New Roman" w:hAnsi="Times New Roman" w:eastAsia="黑体"/>
          <w:b/>
          <w:sz w:val="28"/>
        </w:rPr>
        <w:t>7 数据组织、时序关系与运行要求</w:t>
      </w:r>
    </w:p>
    <w:p>
      <w:pPr>
        <w:pStyle w:val="Heading3"/>
        <w:spacing w:before="120" w:after="120" w:line="288" w:lineRule="auto"/>
        <w:ind w:firstLine="0"/>
      </w:pPr>
      <w:r>
        <w:rPr>
          <w:rFonts w:ascii="Times New Roman" w:hAnsi="Times New Roman" w:eastAsia="黑体"/>
          <w:b/>
          <w:sz w:val="26"/>
        </w:rPr>
        <w:t>7.1 输入数据组织要求</w:t>
      </w:r>
    </w:p>
    <w:p>
      <w:pPr>
        <w:spacing w:before="0" w:after="120" w:line="360" w:lineRule="auto"/>
        <w:ind w:firstLine="420"/>
      </w:pPr>
      <w:r>
        <w:rPr>
          <w:rFonts w:ascii="Times New Roman" w:hAnsi="Times New Roman" w:eastAsia="宋体"/>
          <w:b w:val="0"/>
          <w:i w:val="0"/>
          <w:sz w:val="24"/>
        </w:rPr>
        <w:t>本软件的原始输入来源于前端 FPGA 上送的原始数据流。输入数据应按照前后端约定的结构性规则组织，至少能够支撑包级解析、PRT 级组织、CPI 级归并以及异常边界判定。输入数据在逻辑上应能够标识其所属阵面、所属周期、所属 CPI、所属 PRT、所属通道及其包内位置关系，并能够与当前运行上下文建立唯一关联。</w:t>
      </w:r>
    </w:p>
    <w:p>
      <w:pPr>
        <w:spacing w:before="0" w:after="120" w:line="360" w:lineRule="auto"/>
        <w:ind w:firstLine="420"/>
      </w:pPr>
      <w:r>
        <w:rPr>
          <w:rFonts w:ascii="Times New Roman" w:hAnsi="Times New Roman" w:eastAsia="宋体"/>
          <w:b w:val="0"/>
          <w:i w:val="0"/>
          <w:sz w:val="24"/>
        </w:rPr>
        <w:t>输入数据组织要求是：原始输入必须具备形成完整 CPI 数据单元所需的基本结构信息，并支持对缺包、乱序、重复包、截断包和边界异常的识别。软件对输入数据的解释必须以当前受控协议和参数快照为依据，不得脱离当前运行上下文解释原始数据包。</w:t>
      </w:r>
    </w:p>
    <w:p>
      <w:pPr>
        <w:pStyle w:val="Heading3"/>
        <w:spacing w:before="120" w:after="120" w:line="288" w:lineRule="auto"/>
        <w:ind w:firstLine="0"/>
      </w:pPr>
      <w:r>
        <w:rPr>
          <w:rFonts w:ascii="Times New Roman" w:hAnsi="Times New Roman" w:eastAsia="黑体"/>
          <w:b/>
          <w:sz w:val="26"/>
        </w:rPr>
        <w:t>7.2 完整 CPI 数据单元要求</w:t>
      </w:r>
    </w:p>
    <w:p>
      <w:pPr>
        <w:spacing w:before="0" w:after="120" w:line="360" w:lineRule="auto"/>
        <w:ind w:firstLine="420"/>
      </w:pPr>
      <w:r>
        <w:rPr>
          <w:rFonts w:ascii="Times New Roman" w:hAnsi="Times New Roman" w:eastAsia="宋体"/>
          <w:b w:val="0"/>
          <w:i w:val="0"/>
          <w:sz w:val="24"/>
        </w:rPr>
        <w:t>完整 CPI 数据单元是本软件后续信号处理的标准输入对象。其含义是：针对某一阵面、某一 CPI、某一组运行上下文，在约定组织规则下形成的、可被信号处理链整体消费的数据对象。该对象应至少包含当前 CPI 的有效数据内容、必要的结构化组织结果、与该 CPI 对应的参数快照，以及对输入完整性和异常情况的标记信息。</w:t>
      </w:r>
    </w:p>
    <w:p>
      <w:pPr>
        <w:spacing w:before="0" w:after="120" w:line="360" w:lineRule="auto"/>
        <w:ind w:firstLine="420"/>
      </w:pPr>
      <w:r>
        <w:rPr>
          <w:rFonts w:ascii="Times New Roman" w:hAnsi="Times New Roman" w:eastAsia="宋体"/>
          <w:b w:val="0"/>
          <w:i w:val="0"/>
          <w:sz w:val="24"/>
        </w:rPr>
        <w:t>完整 CPI 数据单元允许存在缺包、乱序、逻辑收尾或局部异常，但必须明确给出质量状态和异常状态，使后续算法能够按状态决定正常处理、受限处理或拒绝进入主算法链。</w:t>
      </w:r>
    </w:p>
    <w:p>
      <w:pPr>
        <w:pStyle w:val="Heading3"/>
        <w:spacing w:before="120" w:after="120" w:line="288" w:lineRule="auto"/>
        <w:ind w:firstLine="0"/>
      </w:pPr>
      <w:r>
        <w:rPr>
          <w:rFonts w:ascii="Times New Roman" w:hAnsi="Times New Roman" w:eastAsia="黑体"/>
          <w:b/>
          <w:sz w:val="26"/>
        </w:rPr>
        <w:t>7.3 参数快照内容要求</w:t>
      </w:r>
    </w:p>
    <w:p>
      <w:pPr>
        <w:spacing w:before="0" w:after="120" w:line="360" w:lineRule="auto"/>
        <w:ind w:firstLine="420"/>
      </w:pPr>
      <w:r>
        <w:rPr>
          <w:rFonts w:ascii="Times New Roman" w:hAnsi="Times New Roman" w:eastAsia="宋体"/>
          <w:b w:val="0"/>
          <w:i w:val="0"/>
          <w:sz w:val="24"/>
        </w:rPr>
        <w:t>参数快照是完整 CPI 数据单元对应的运行上下文信息，要求由上游与数据单元绑定，并在后续处理链中保持传递。参数快照应至少覆盖以下语义内容：阵面标识、当前全局周期号或秒序号、CPI 序号、表版本号、波束或波位标识、工作模式、生效边界关联标识、时间来源或授时状态、降级状态以及当前数据单元所对应的执行上下文来源。</w:t>
      </w:r>
    </w:p>
    <w:p>
      <w:pPr>
        <w:spacing w:before="0" w:after="120" w:line="360" w:lineRule="auto"/>
        <w:ind w:firstLine="420"/>
      </w:pPr>
      <w:r>
        <w:rPr>
          <w:rFonts w:ascii="Times New Roman" w:hAnsi="Times New Roman" w:eastAsia="宋体"/>
          <w:b w:val="0"/>
          <w:i w:val="0"/>
          <w:sz w:val="24"/>
        </w:rPr>
        <w:t>参数快照用于为算法链提供当前数据单元的统一解释依据，并支撑结果输出、异常判定和回放分析。参数快照一经绑定后，不得在后续模块中重新生成同语义副本。</w:t>
      </w:r>
    </w:p>
    <w:p>
      <w:pPr>
        <w:pStyle w:val="Heading3"/>
        <w:spacing w:before="120" w:after="120" w:line="288" w:lineRule="auto"/>
        <w:ind w:firstLine="0"/>
      </w:pPr>
      <w:r>
        <w:rPr>
          <w:rFonts w:ascii="Times New Roman" w:hAnsi="Times New Roman" w:eastAsia="黑体"/>
          <w:b/>
          <w:sz w:val="26"/>
        </w:rPr>
        <w:t>7.4 数据流与控制流分治要求</w:t>
      </w:r>
    </w:p>
    <w:p>
      <w:pPr>
        <w:spacing w:before="0" w:after="120" w:line="360" w:lineRule="auto"/>
        <w:ind w:firstLine="420"/>
      </w:pPr>
      <w:r>
        <w:rPr>
          <w:rFonts w:ascii="Times New Roman" w:hAnsi="Times New Roman" w:eastAsia="宋体"/>
          <w:b w:val="0"/>
          <w:i w:val="0"/>
          <w:sz w:val="24"/>
        </w:rPr>
        <w:t>本系统应明确区分数据流与控制流。本软件属于数据面处理链，主要负责原始数据接收、重组、解析、完整 CPI 数据单元形成与消费、信号级处理、原始数据录制协同、结果输出以及必要的状态和异常标记；控制流则负责时基管理、模式状态机、候选安排生成、执行表定版、表下发、接收确认、生效确认、遥测/状态汇聚和降级裁决。</w:t>
      </w:r>
    </w:p>
    <w:p>
      <w:pPr>
        <w:spacing w:before="0" w:after="120" w:line="360" w:lineRule="auto"/>
        <w:ind w:firstLine="420"/>
      </w:pPr>
      <w:r>
        <w:rPr>
          <w:rFonts w:ascii="Times New Roman" w:hAnsi="Times New Roman" w:eastAsia="宋体"/>
          <w:b w:val="0"/>
          <w:i w:val="0"/>
          <w:sz w:val="24"/>
        </w:rPr>
        <w:t>本软件处理当前数据单元所需的模式、边界、周期和表版本等信息，应通过参数快照和共享周期状态获得；控制面不应以阻塞方式介入数据面逐 CPI 算法处理。</w:t>
      </w:r>
    </w:p>
    <w:p>
      <w:pPr>
        <w:pStyle w:val="Heading3"/>
        <w:spacing w:before="120" w:after="120" w:line="288" w:lineRule="auto"/>
        <w:ind w:firstLine="0"/>
      </w:pPr>
      <w:r>
        <w:rPr>
          <w:rFonts w:ascii="Times New Roman" w:hAnsi="Times New Roman" w:eastAsia="黑体"/>
          <w:b/>
          <w:sz w:val="26"/>
        </w:rPr>
        <w:t>7.5 周期与边界要求</w:t>
      </w:r>
    </w:p>
    <w:p>
      <w:pPr>
        <w:spacing w:before="0" w:after="120" w:line="360" w:lineRule="auto"/>
        <w:ind w:firstLine="420"/>
      </w:pPr>
      <w:r>
        <w:rPr>
          <w:rFonts w:ascii="Times New Roman" w:hAnsi="Times New Roman" w:eastAsia="宋体"/>
          <w:b w:val="0"/>
          <w:i w:val="0"/>
          <w:sz w:val="24"/>
        </w:rPr>
        <w:t>本系统的时间组织应采用“秒边界执行表切换、CPI 边界推进”的时序定义。调度大周期默认定义为 1 秒，秒边界负责全局执行表切换和周期切换，CPI 边界负责表内推进，PRT 和包级负责数据生产、发送、接收和重组。数据面不直接管理秒边界，而是通过共享周期状态和参数快照获取边界语义。</w:t>
      </w:r>
    </w:p>
    <w:p>
      <w:pPr>
        <w:pStyle w:val="Heading4"/>
        <w:spacing w:before="120" w:after="120" w:line="288" w:lineRule="auto"/>
        <w:ind w:firstLine="0"/>
      </w:pPr>
      <w:r>
        <w:rPr>
          <w:rFonts w:ascii="Times New Roman" w:hAnsi="Times New Roman" w:eastAsia="黑体"/>
          <w:b/>
          <w:sz w:val="24"/>
        </w:rPr>
        <w:t>7.5.1 秒边界要求</w:t>
      </w:r>
    </w:p>
    <w:p>
      <w:pPr>
        <w:spacing w:before="0" w:after="120" w:line="360" w:lineRule="auto"/>
        <w:ind w:firstLine="420"/>
      </w:pPr>
      <w:r>
        <w:rPr>
          <w:rFonts w:ascii="Times New Roman" w:hAnsi="Times New Roman" w:eastAsia="宋体"/>
          <w:b w:val="0"/>
          <w:i w:val="0"/>
          <w:sz w:val="24"/>
        </w:rPr>
        <w:t>秒边界是系统级大边界，用于定义调度大周期切换、生效周期归属和全局执行表切换语义。所有与当前周期相关的数据、控制和状态对象均应归属于同一秒边界定义。任何结果输出、状态记录和异常判定，均应能够追溯到其所属秒边界。</w:t>
      </w:r>
    </w:p>
    <w:p>
      <w:pPr>
        <w:pStyle w:val="Heading4"/>
        <w:spacing w:before="120" w:after="120" w:line="288" w:lineRule="auto"/>
        <w:ind w:firstLine="0"/>
      </w:pPr>
      <w:r>
        <w:rPr>
          <w:rFonts w:ascii="Times New Roman" w:hAnsi="Times New Roman" w:eastAsia="黑体"/>
          <w:b/>
          <w:sz w:val="24"/>
        </w:rPr>
        <w:t>7.5.2 CPI 边界要求</w:t>
      </w:r>
    </w:p>
    <w:p>
      <w:pPr>
        <w:spacing w:before="0" w:after="120" w:line="360" w:lineRule="auto"/>
        <w:ind w:firstLine="420"/>
      </w:pPr>
      <w:r>
        <w:rPr>
          <w:rFonts w:ascii="Times New Roman" w:hAnsi="Times New Roman" w:eastAsia="宋体"/>
          <w:b w:val="0"/>
          <w:i w:val="0"/>
          <w:sz w:val="24"/>
        </w:rPr>
        <w:t>CPI 边界是秒内的小边界，是数据处理和表内推进的基本处理节拍。本软件的核心输入对象和主要处理单元均应以 CPI 为基准组织。不同 CPI 之间的数据、状态和输出对象不得混叠；某一 CPI 的结果应与其唯一对应的参数快照和周期上下文保持一致。对于跟踪、精跟和测试模式，CPI 边界还应作为处理结果归属和链路一致性的重要判断基准。</w:t>
      </w:r>
    </w:p>
    <w:p>
      <w:pPr>
        <w:pStyle w:val="Heading4"/>
        <w:spacing w:before="120" w:after="120" w:line="288" w:lineRule="auto"/>
        <w:ind w:firstLine="0"/>
      </w:pPr>
      <w:r>
        <w:rPr>
          <w:rFonts w:ascii="Times New Roman" w:hAnsi="Times New Roman" w:eastAsia="黑体"/>
          <w:b/>
          <w:sz w:val="24"/>
        </w:rPr>
        <w:t>7.5.3 软件秒边界事件要求</w:t>
      </w:r>
    </w:p>
    <w:p>
      <w:pPr>
        <w:spacing w:before="0" w:after="120" w:line="360" w:lineRule="auto"/>
        <w:ind w:firstLine="420"/>
      </w:pPr>
      <w:r>
        <w:rPr>
          <w:rFonts w:ascii="Times New Roman" w:hAnsi="Times New Roman" w:eastAsia="宋体"/>
          <w:b w:val="0"/>
          <w:i w:val="0"/>
          <w:sz w:val="24"/>
        </w:rPr>
        <w:t>在当前服务器侧无本地硬件秒边界输入条件下，系统应将前端上报的边界通知在后端抽象为软件秒边界事件。该事件是后端控制面消费的正式秒边界对象，用于维护全局周期状态，并为数据面提供统一的边界语义来源。软件秒边界事件不等同于硬件 1PPS，也不应将其定义为数据面本地处理时钟。</w:t>
      </w:r>
    </w:p>
    <w:p>
      <w:pPr>
        <w:spacing w:before="0" w:after="120" w:line="360" w:lineRule="auto"/>
        <w:ind w:firstLine="420"/>
      </w:pPr>
      <w:r>
        <w:rPr>
          <w:rFonts w:ascii="Times New Roman" w:hAnsi="Times New Roman" w:eastAsia="宋体"/>
          <w:b w:val="0"/>
          <w:i w:val="0"/>
          <w:sz w:val="24"/>
        </w:rPr>
        <w:t>软件秒边界事件至少应支撑以下语义：当前边界序号、当前逻辑秒归属、时间来源、时间质量、边界是否有效以及是否发生重同步或跳变。数据面消费的是经控制面维护后的周期状态及其在参数快照中的反映。</w:t>
      </w:r>
    </w:p>
    <w:p>
      <w:pPr>
        <w:pStyle w:val="Heading3"/>
        <w:spacing w:before="120" w:after="120" w:line="288" w:lineRule="auto"/>
        <w:ind w:firstLine="0"/>
      </w:pPr>
      <w:r>
        <w:rPr>
          <w:rFonts w:ascii="Times New Roman" w:hAnsi="Times New Roman" w:eastAsia="黑体"/>
          <w:b/>
          <w:sz w:val="26"/>
        </w:rPr>
        <w:t>7.6 生效边界一致性要求</w:t>
      </w:r>
    </w:p>
    <w:p>
      <w:pPr>
        <w:spacing w:before="0" w:after="120" w:line="360" w:lineRule="auto"/>
        <w:ind w:firstLine="420"/>
      </w:pPr>
      <w:r>
        <w:rPr>
          <w:rFonts w:ascii="Times New Roman" w:hAnsi="Times New Roman" w:eastAsia="宋体"/>
          <w:b w:val="0"/>
          <w:i w:val="0"/>
          <w:sz w:val="24"/>
        </w:rPr>
        <w:t>本软件输出的处理结果必须与当前数据单元所对应的生效边界保持一致。某一完整 CPI 数据单元应归属于唯一确定的控制上下文、周期状态和表版本语义；后续结果输出、状态标记和异常标记也必须与该归属一致。</w:t>
      </w:r>
    </w:p>
    <w:p>
      <w:pPr>
        <w:spacing w:before="0" w:after="120" w:line="360" w:lineRule="auto"/>
        <w:ind w:firstLine="420"/>
      </w:pPr>
      <w:r>
        <w:rPr>
          <w:rFonts w:ascii="Times New Roman" w:hAnsi="Times New Roman" w:eastAsia="宋体"/>
          <w:b w:val="0"/>
          <w:i w:val="0"/>
          <w:sz w:val="24"/>
        </w:rPr>
        <w:t>本软件负责消费已经绑定到数据单元上的边界语义。凡遇到生效边界不清、上下文错配、表版本缺失或周期状态不可确认等情况，应明确给出异常标记或受限结果。</w:t>
      </w:r>
    </w:p>
    <w:p>
      <w:pPr>
        <w:pStyle w:val="Heading3"/>
        <w:spacing w:before="120" w:after="120" w:line="288" w:lineRule="auto"/>
        <w:ind w:firstLine="0"/>
      </w:pPr>
      <w:r>
        <w:rPr>
          <w:rFonts w:ascii="Times New Roman" w:hAnsi="Times New Roman" w:eastAsia="黑体"/>
          <w:b/>
          <w:sz w:val="26"/>
        </w:rPr>
        <w:t>7.7 丢包、乱序、截断与异常处理要求</w:t>
      </w:r>
    </w:p>
    <w:p>
      <w:pPr>
        <w:spacing w:before="0" w:after="120" w:line="360" w:lineRule="auto"/>
        <w:ind w:firstLine="420"/>
      </w:pPr>
      <w:r>
        <w:rPr>
          <w:rFonts w:ascii="Times New Roman" w:hAnsi="Times New Roman" w:eastAsia="宋体"/>
          <w:b w:val="0"/>
          <w:i w:val="0"/>
          <w:sz w:val="24"/>
        </w:rPr>
        <w:t>本软件应能够识别并处理原始输入中的缺包、乱序、重复包、截断包、尾包缺失、边界异常和结构不完整等问题。异常必须显式识别并标记，不能将异常输入作为正常算法输入。对于仍能维持基本解释关系的数据单元，可进入受限处理流程并在结果中附带质量或异常标记；对于已破坏基本结构关系、无法维持正确上下文归属的数据单元，应拒绝进入主算法处理链。</w:t>
      </w:r>
    </w:p>
    <w:p>
      <w:pPr>
        <w:spacing w:before="0" w:after="120" w:line="360" w:lineRule="auto"/>
        <w:ind w:firstLine="420"/>
      </w:pPr>
      <w:r>
        <w:rPr>
          <w:rFonts w:ascii="Times New Roman" w:hAnsi="Times New Roman" w:eastAsia="宋体"/>
          <w:b w:val="0"/>
          <w:i w:val="0"/>
          <w:sz w:val="24"/>
        </w:rPr>
        <w:t>异常处理应满足以下要求：</w:t>
        <w:br/>
        <w:t>一是缺包、乱序和截断等异常应在尽可能靠近输入组织阶段被识别；</w:t>
        <w:br/>
        <w:t>二是异常状态应与完整 CPI 数据单元和参数快照建立关联；</w:t>
        <w:br/>
        <w:t>三是后续算法、结果打包和下游模块能够识别这些标记；</w:t>
        <w:br/>
        <w:t>四是在允许逻辑收尾、局部补偿或受限输出的情况下，也不得丢失“该结果来自异常输入”的事实。</w:t>
      </w:r>
    </w:p>
    <w:p>
      <w:pPr>
        <w:pStyle w:val="Heading3"/>
        <w:spacing w:before="120" w:after="120" w:line="288" w:lineRule="auto"/>
        <w:ind w:firstLine="0"/>
      </w:pPr>
      <w:r>
        <w:rPr>
          <w:rFonts w:ascii="Times New Roman" w:hAnsi="Times New Roman" w:eastAsia="黑体"/>
          <w:b/>
          <w:sz w:val="26"/>
        </w:rPr>
        <w:t>7.8 原始数据录制与回放要求</w:t>
      </w:r>
    </w:p>
    <w:p>
      <w:pPr>
        <w:spacing w:before="0" w:after="120" w:line="360" w:lineRule="auto"/>
        <w:ind w:firstLine="420"/>
      </w:pPr>
      <w:r>
        <w:rPr>
          <w:rFonts w:ascii="Times New Roman" w:hAnsi="Times New Roman" w:eastAsia="宋体"/>
          <w:b w:val="0"/>
          <w:i w:val="0"/>
          <w:sz w:val="24"/>
        </w:rPr>
        <w:t>本软件应支持与原始数据录制和回放链路协同工作。录制的主要目标是为联调取证、离线回放、协议排障、算法分析和问题定位与追溯提供证据基础。因此，本软件至少应具备原始 UDP 数据及其重组结果的录制能力，并能够将录制对象与参数快照、周期状态、表版本和异常标记建立关联。</w:t>
      </w:r>
    </w:p>
    <w:p>
      <w:pPr>
        <w:spacing w:before="0" w:after="120" w:line="360" w:lineRule="auto"/>
        <w:ind w:firstLine="420"/>
      </w:pPr>
      <w:r>
        <w:rPr>
          <w:rFonts w:ascii="Times New Roman" w:hAnsi="Times New Roman" w:eastAsia="宋体"/>
          <w:b w:val="0"/>
          <w:i w:val="0"/>
          <w:sz w:val="24"/>
        </w:rPr>
        <w:t>原始数据录制与回放应满足以下原则：一是录制对象应优先保留原始输入事实，保证回放时可复现数据面入口语义；二是回放时应能够恢复与原始数据单元对应的参数上下文和边界语义；三是录制和回放功能不得破坏实时主处理链的正常运行，不得因录制、转存或回放机制反压主处理路径。对于需要进一步算法复盘的场景，可在不影响主处理链职责边界的前提下保留必要的结构化中间结果，但其地位应从属于原始输入事实的保留。</w:t>
      </w:r>
    </w:p>
    <w:p>
      <w:pPr>
        <w:spacing w:before="60" w:after="60" w:line="240" w:lineRule="auto"/>
        <w:ind w:firstLine="0"/>
        <w:pBdr>
          <w:bottom w:val="single" w:sz="6" w:space="1" w:color="auto"/>
        </w:pBdr>
      </w:pPr>
    </w:p>
    <w:p>
      <w:pPr>
        <w:pStyle w:val="Heading2"/>
        <w:spacing w:before="240" w:after="120" w:line="288" w:lineRule="auto"/>
        <w:ind w:firstLine="0"/>
      </w:pPr>
      <w:r>
        <w:rPr>
          <w:rFonts w:ascii="Times New Roman" w:hAnsi="Times New Roman" w:eastAsia="黑体"/>
          <w:b/>
          <w:sz w:val="28"/>
        </w:rPr>
        <w:t>8 接口要求</w:t>
      </w:r>
    </w:p>
    <w:p>
      <w:pPr>
        <w:pStyle w:val="Heading3"/>
        <w:spacing w:before="120" w:after="120" w:line="288" w:lineRule="auto"/>
        <w:ind w:firstLine="0"/>
      </w:pPr>
      <w:r>
        <w:rPr>
          <w:rFonts w:ascii="Times New Roman" w:hAnsi="Times New Roman" w:eastAsia="黑体"/>
          <w:b/>
          <w:sz w:val="26"/>
        </w:rPr>
        <w:t>8.1 接口总述</w:t>
      </w:r>
    </w:p>
    <w:p>
      <w:pPr>
        <w:spacing w:before="0" w:after="120" w:line="360" w:lineRule="auto"/>
        <w:ind w:firstLine="420"/>
      </w:pPr>
      <w:r>
        <w:rPr>
          <w:rFonts w:ascii="Times New Roman" w:hAnsi="Times New Roman" w:eastAsia="宋体"/>
          <w:b w:val="0"/>
          <w:i w:val="0"/>
          <w:sz w:val="24"/>
        </w:rPr>
        <w:t>本章规定与信号处理软件直接相关的输入、输出和协同接口。对本软件而言，调度执行表、管理/应急命令、接收确认/生效确认/遥测/状态以及时基边界事件，不作为本软件直接协议处理对象进入，而是通过参数快照、共享周期状态和运行上下文作用于本软件。</w:t>
      </w:r>
    </w:p>
    <w:p>
      <w:pPr>
        <w:spacing w:before="0" w:after="120" w:line="360" w:lineRule="auto"/>
        <w:ind w:firstLine="420"/>
      </w:pPr>
      <w:r>
        <w:rPr>
          <w:rFonts w:ascii="Times New Roman" w:hAnsi="Times New Roman" w:eastAsia="宋体"/>
          <w:b w:val="0"/>
          <w:i w:val="0"/>
          <w:sz w:val="24"/>
        </w:rPr>
        <w:t>本软件接口至少包括：上游原始数据输入接口、完整 CPI 数据单元输入接口、参数快照与只读运行上下文输入接口、录制与回放协同接口、与下游模块的数据输出接口，以及状态、质量和异常信息输出接口。</w:t>
      </w:r>
    </w:p>
    <w:p>
      <w:pPr>
        <w:pStyle w:val="Heading3"/>
        <w:spacing w:before="120" w:after="120" w:line="288" w:lineRule="auto"/>
        <w:ind w:firstLine="0"/>
      </w:pPr>
      <w:r>
        <w:rPr>
          <w:rFonts w:ascii="Times New Roman" w:hAnsi="Times New Roman" w:eastAsia="黑体"/>
          <w:b/>
          <w:sz w:val="26"/>
        </w:rPr>
        <w:t>8.2 上游原始数据输入接口</w:t>
      </w:r>
    </w:p>
    <w:p>
      <w:pPr>
        <w:spacing w:before="0" w:after="120" w:line="360" w:lineRule="auto"/>
        <w:ind w:firstLine="420"/>
      </w:pPr>
      <w:r>
        <w:rPr>
          <w:rFonts w:ascii="Times New Roman" w:hAnsi="Times New Roman" w:eastAsia="宋体"/>
          <w:b w:val="0"/>
          <w:i w:val="0"/>
          <w:sz w:val="24"/>
        </w:rPr>
        <w:t>上游原始数据输入接口是本软件最基础的输入接口，用于接收由前端上送、并由上游组织进入本软件处理链的原始数据。该接口在语义上必须能够支持阵面区分、包级结构识别、PRT 级组织、CPI 级归并以及异常边界判定。输入数据应具备形成完整 CPI 数据单元所需的基本结构信息，并能够与当前运行上下文建立唯一关联。</w:t>
      </w:r>
    </w:p>
    <w:p>
      <w:pPr>
        <w:spacing w:before="0" w:after="120" w:line="360" w:lineRule="auto"/>
        <w:ind w:firstLine="420"/>
      </w:pPr>
      <w:r>
        <w:rPr>
          <w:rFonts w:ascii="Times New Roman" w:hAnsi="Times New Roman" w:eastAsia="宋体"/>
          <w:b w:val="0"/>
          <w:i w:val="0"/>
          <w:sz w:val="24"/>
        </w:rPr>
        <w:t>本接口对字段级协议不作全面冻结，但要求其所承载的数据必须能够支撑完整 CPI 数据单元形成、参数快照绑定、异常识别和后续算法处理。对于缺包、乱序、重复包、截断包和边界异常等情况，本接口必须保留足够信息供上游或入口组织逻辑识别并标记。</w:t>
      </w:r>
    </w:p>
    <w:p>
      <w:pPr>
        <w:pStyle w:val="Heading3"/>
        <w:spacing w:before="120" w:after="120" w:line="288" w:lineRule="auto"/>
        <w:ind w:firstLine="0"/>
      </w:pPr>
      <w:r>
        <w:rPr>
          <w:rFonts w:ascii="Times New Roman" w:hAnsi="Times New Roman" w:eastAsia="黑体"/>
          <w:b/>
          <w:sz w:val="26"/>
        </w:rPr>
        <w:t>8.3 完整 CPI 数据单元输入接口</w:t>
      </w:r>
    </w:p>
    <w:p>
      <w:pPr>
        <w:spacing w:before="0" w:after="120" w:line="360" w:lineRule="auto"/>
        <w:ind w:firstLine="420"/>
      </w:pPr>
      <w:r>
        <w:rPr>
          <w:rFonts w:ascii="Times New Roman" w:hAnsi="Times New Roman" w:eastAsia="宋体"/>
          <w:b w:val="0"/>
          <w:i w:val="0"/>
          <w:sz w:val="24"/>
        </w:rPr>
        <w:t>完整 CPI 数据单元输入接口是本软件进行信号级处理的标准输入接口。该接口输入对象应至少包括当前 CPI 的有效数据内容、结构化组织结果、参数快照以及与输入完整性相关的质量和异常标记。信号处理软件应以该对象作为后续算法链的统一入口，不直接面向零散包级对象开展主算法处理。</w:t>
      </w:r>
    </w:p>
    <w:p>
      <w:pPr>
        <w:spacing w:before="0" w:after="120" w:line="360" w:lineRule="auto"/>
        <w:ind w:firstLine="420"/>
      </w:pPr>
      <w:r>
        <w:rPr>
          <w:rFonts w:ascii="Times New Roman" w:hAnsi="Times New Roman" w:eastAsia="宋体"/>
          <w:b w:val="0"/>
          <w:i w:val="0"/>
          <w:sz w:val="24"/>
        </w:rPr>
        <w:t>完整 CPI 数据单元输入接口的关键要求是输入对象可解释、可归属、可追溯。即使输入存在局部异常，该接口对象也应明确表达当前状态，使后续处理链能够区分正常输入、受限输入和不可进入主处理链的异常输入。</w:t>
      </w:r>
    </w:p>
    <w:p>
      <w:pPr>
        <w:pStyle w:val="Heading3"/>
        <w:spacing w:before="120" w:after="120" w:line="288" w:lineRule="auto"/>
        <w:ind w:firstLine="0"/>
      </w:pPr>
      <w:r>
        <w:rPr>
          <w:rFonts w:ascii="Times New Roman" w:hAnsi="Times New Roman" w:eastAsia="黑体"/>
          <w:b/>
          <w:sz w:val="26"/>
        </w:rPr>
        <w:t>8.4 参数快照与只读运行上下文输入接口</w:t>
      </w:r>
    </w:p>
    <w:p>
      <w:pPr>
        <w:spacing w:before="0" w:after="120" w:line="360" w:lineRule="auto"/>
        <w:ind w:firstLine="420"/>
      </w:pPr>
      <w:r>
        <w:rPr>
          <w:rFonts w:ascii="Times New Roman" w:hAnsi="Times New Roman" w:eastAsia="宋体"/>
          <w:b w:val="0"/>
          <w:i w:val="0"/>
          <w:sz w:val="24"/>
        </w:rPr>
        <w:t>参数快照与只读运行上下文输入接口，是信号处理软件消费控制语义和周期语义的主要入口。该接口不承载执行表下发本身，而承载与当前数据单元绑定的受控上下文，包括但不限于阵面标识、全局周期号或秒序号、CPI 序号、表版本号、波束或波位标识、工作模式、生效边界关联标识、授时状态、降级状态和当前执行上下文来源。</w:t>
      </w:r>
    </w:p>
    <w:p>
      <w:pPr>
        <w:spacing w:before="0" w:after="120" w:line="360" w:lineRule="auto"/>
        <w:ind w:firstLine="420"/>
      </w:pPr>
      <w:r>
        <w:rPr>
          <w:rFonts w:ascii="Times New Roman" w:hAnsi="Times New Roman" w:eastAsia="宋体"/>
          <w:b w:val="0"/>
          <w:i w:val="0"/>
          <w:sz w:val="24"/>
        </w:rPr>
        <w:t>该接口用于把控制流已经确定的结果以只读方式传递给数据流，使信号处理软件获得当前数据单元的统一解释定义。该接口进入本软件后，后续模块不得重建同语义副本。</w:t>
      </w:r>
    </w:p>
    <w:p>
      <w:pPr>
        <w:pStyle w:val="Heading3"/>
        <w:spacing w:before="120" w:after="120" w:line="288" w:lineRule="auto"/>
        <w:ind w:firstLine="0"/>
      </w:pPr>
      <w:r>
        <w:rPr>
          <w:rFonts w:ascii="Times New Roman" w:hAnsi="Times New Roman" w:eastAsia="黑体"/>
          <w:b/>
          <w:sz w:val="26"/>
        </w:rPr>
        <w:t>8.5 录制与回放协同接口</w:t>
      </w:r>
    </w:p>
    <w:p>
      <w:pPr>
        <w:spacing w:before="0" w:after="120" w:line="360" w:lineRule="auto"/>
        <w:ind w:firstLine="420"/>
      </w:pPr>
      <w:r>
        <w:rPr>
          <w:rFonts w:ascii="Times New Roman" w:hAnsi="Times New Roman" w:eastAsia="宋体"/>
          <w:b w:val="0"/>
          <w:i w:val="0"/>
          <w:sz w:val="24"/>
        </w:rPr>
        <w:t>录制与回放协同接口用于支撑原始数据取证、离线回放、协议排障、算法分析和问题定位与追溯。对信号处理软件而言，该接口不是系统级长期存储接口，而是与原始 UDP 数据、重组结果、完整 CPI 数据单元、参数快照和异常标记相关的受控录制与回放协同接口。软件应支持与录制链路建立关联，使原始输入事实、算法输入对象和结果输出对象能够在回放和复盘场景中建立对应关系。</w:t>
      </w:r>
    </w:p>
    <w:p>
      <w:pPr>
        <w:spacing w:before="0" w:after="120" w:line="360" w:lineRule="auto"/>
        <w:ind w:firstLine="420"/>
      </w:pPr>
      <w:r>
        <w:rPr>
          <w:rFonts w:ascii="Times New Roman" w:hAnsi="Times New Roman" w:eastAsia="宋体"/>
          <w:b w:val="0"/>
          <w:i w:val="0"/>
          <w:sz w:val="24"/>
        </w:rPr>
        <w:t>该接口应满足以下要求：一是原始输入事实优先保留；二是回放对象应能够恢复原始上下文和边界语义；三是录制与回放功能不得反压实时算法主处理链；四是为算法复盘保留的结构化数据应从属于原始输入事实，而不能替代原始录制对象。</w:t>
      </w:r>
    </w:p>
    <w:p>
      <w:pPr>
        <w:pStyle w:val="Heading3"/>
        <w:spacing w:before="120" w:after="120" w:line="288" w:lineRule="auto"/>
        <w:ind w:firstLine="0"/>
      </w:pPr>
      <w:r>
        <w:rPr>
          <w:rFonts w:ascii="Times New Roman" w:hAnsi="Times New Roman" w:eastAsia="黑体"/>
          <w:b/>
          <w:sz w:val="26"/>
        </w:rPr>
        <w:t>8.6 与下游模块的数据输出接口</w:t>
      </w:r>
    </w:p>
    <w:p>
      <w:pPr>
        <w:spacing w:before="0" w:after="120" w:line="360" w:lineRule="auto"/>
        <w:ind w:firstLine="420"/>
      </w:pPr>
      <w:r>
        <w:rPr>
          <w:rFonts w:ascii="Times New Roman" w:hAnsi="Times New Roman" w:eastAsia="宋体"/>
          <w:b w:val="0"/>
          <w:i w:val="0"/>
          <w:sz w:val="24"/>
        </w:rPr>
        <w:t>与下游模块的数据输出接口是本软件最核心的输出接口，用于向后续数据处理、目标跟踪或其他下游处理链提供可信输入。该接口输出对象应至少包括目标数据、信号处理结果或约定中间结果、参数快照信息、必要的质量标记和异常标记，以及支撑后续处理的状态摘要。</w:t>
      </w:r>
    </w:p>
    <w:p>
      <w:pPr>
        <w:spacing w:before="0" w:after="120" w:line="360" w:lineRule="auto"/>
        <w:ind w:firstLine="420"/>
      </w:pPr>
      <w:r>
        <w:rPr>
          <w:rFonts w:ascii="Times New Roman" w:hAnsi="Times New Roman" w:eastAsia="宋体"/>
          <w:b w:val="0"/>
          <w:i w:val="0"/>
          <w:sz w:val="24"/>
        </w:rPr>
        <w:t>输出对象应与输入数据单元保持一一对应的上下文关系，保证下游能够明确知道结果来自哪个阵面、哪个周期、哪个 CPI、哪份表版本和哪种工作模式。</w:t>
      </w:r>
    </w:p>
    <w:p>
      <w:pPr>
        <w:pStyle w:val="Heading3"/>
        <w:spacing w:before="120" w:after="120" w:line="288" w:lineRule="auto"/>
        <w:ind w:firstLine="0"/>
      </w:pPr>
      <w:r>
        <w:rPr>
          <w:rFonts w:ascii="Times New Roman" w:hAnsi="Times New Roman" w:eastAsia="黑体"/>
          <w:b/>
          <w:sz w:val="26"/>
        </w:rPr>
        <w:t>8.7 状态、质量与异常信息输出接口</w:t>
      </w:r>
    </w:p>
    <w:p>
      <w:pPr>
        <w:spacing w:before="0" w:after="120" w:line="360" w:lineRule="auto"/>
        <w:ind w:firstLine="420"/>
      </w:pPr>
      <w:r>
        <w:rPr>
          <w:rFonts w:ascii="Times New Roman" w:hAnsi="Times New Roman" w:eastAsia="宋体"/>
          <w:b w:val="0"/>
          <w:i w:val="0"/>
          <w:sz w:val="24"/>
        </w:rPr>
        <w:t>状态、质量与异常信息输出接口用于向下游模块、基础支撑功能和系统级状态汇聚链路提供本软件运行状态、算法质量信息和异常信息。该接口输出内容应至少包括输入完整性状态、算法处理状态、质量标记、异常标记、模式相关状态以及必要的统计和摘要信息。</w:t>
      </w:r>
    </w:p>
    <w:p>
      <w:pPr>
        <w:spacing w:before="0" w:after="120" w:line="360" w:lineRule="auto"/>
        <w:ind w:firstLine="420"/>
      </w:pPr>
      <w:r>
        <w:rPr>
          <w:rFonts w:ascii="Times New Roman" w:hAnsi="Times New Roman" w:eastAsia="宋体"/>
          <w:b w:val="0"/>
          <w:i w:val="0"/>
          <w:sz w:val="24"/>
        </w:rPr>
        <w:t>状态信息必须与结果对象和参数快照建立关联，能够支撑后续诊断、联调、回放和系统级状态展示。本软件不直接承担显控显示协议、前端接收确认/生效确认汇聚协议和调度裁决协议。</w:t>
      </w:r>
    </w:p>
    <w:p>
      <w:pPr>
        <w:pStyle w:val="Heading3"/>
        <w:spacing w:before="120" w:after="120" w:line="288" w:lineRule="auto"/>
        <w:ind w:firstLine="0"/>
      </w:pPr>
      <w:r>
        <w:rPr>
          <w:rFonts w:ascii="Times New Roman" w:hAnsi="Times New Roman" w:eastAsia="黑体"/>
          <w:b/>
          <w:sz w:val="26"/>
        </w:rPr>
        <w:t>8.8 接口一致性与扩展性要求</w:t>
      </w:r>
    </w:p>
    <w:p>
      <w:pPr>
        <w:spacing w:before="0" w:after="120" w:line="360" w:lineRule="auto"/>
        <w:ind w:firstLine="420"/>
      </w:pPr>
      <w:r>
        <w:rPr>
          <w:rFonts w:ascii="Times New Roman" w:hAnsi="Times New Roman" w:eastAsia="宋体"/>
          <w:b w:val="0"/>
          <w:i w:val="0"/>
          <w:sz w:val="24"/>
        </w:rPr>
        <w:t>本软件相关接口应满足以下一致性要求：</w:t>
        <w:br/>
        <w:t>一是输入、输出和上下文对象之间的命名、编号、周期归属和版本语义必须一致；</w:t>
        <w:br/>
        <w:t>二是同一数据单元在不同接口中的阵面标识、周期号、CPI 号、表版本号和模式语义不得冲突；</w:t>
        <w:br/>
        <w:t>三是参数快照应作为统一上下文信息贯穿输入、处理、输出、录制和回放链路；</w:t>
        <w:br/>
        <w:t>四是质量标记与异常标记应在各相关接口中保持语义一致。</w:t>
      </w:r>
    </w:p>
    <w:p>
      <w:pPr>
        <w:spacing w:before="0" w:after="120" w:line="360" w:lineRule="auto"/>
        <w:ind w:firstLine="420"/>
      </w:pPr>
      <w:r>
        <w:rPr>
          <w:rFonts w:ascii="Times New Roman" w:hAnsi="Times New Roman" w:eastAsia="宋体"/>
          <w:b w:val="0"/>
          <w:i w:val="0"/>
          <w:sz w:val="24"/>
        </w:rPr>
        <w:t>本软件相关接口还应满足扩展性要求：在不破坏当前语义冻结的前提下，应允许未来扩展更多状态字段、质量字段、录制对象、回放对象和下游结果对象；但任何扩展都不得破坏“完整 CPI 数据单元 + 参数快照 + 结果对象 + 质量/异常标记”这一基本接口模型。</w:t>
      </w:r>
    </w:p>
    <w:p>
      <w:pPr>
        <w:spacing w:before="60" w:after="60" w:line="240" w:lineRule="auto"/>
        <w:ind w:firstLine="0"/>
        <w:pBdr>
          <w:bottom w:val="single" w:sz="6" w:space="1" w:color="auto"/>
        </w:pBdr>
      </w:pPr>
    </w:p>
    <w:p>
      <w:pPr>
        <w:pStyle w:val="Heading2"/>
        <w:spacing w:before="240" w:after="120" w:line="288" w:lineRule="auto"/>
        <w:ind w:firstLine="0"/>
      </w:pPr>
      <w:r>
        <w:rPr>
          <w:rFonts w:ascii="Times New Roman" w:hAnsi="Times New Roman" w:eastAsia="黑体"/>
          <w:b/>
          <w:sz w:val="28"/>
        </w:rPr>
        <w:t>9 设计约束与实现要求</w:t>
      </w:r>
    </w:p>
    <w:p>
      <w:pPr>
        <w:pStyle w:val="Heading3"/>
        <w:spacing w:before="120" w:after="120" w:line="288" w:lineRule="auto"/>
        <w:ind w:firstLine="0"/>
      </w:pPr>
      <w:r>
        <w:rPr>
          <w:rFonts w:ascii="Times New Roman" w:hAnsi="Times New Roman" w:eastAsia="黑体"/>
          <w:b/>
          <w:sz w:val="26"/>
        </w:rPr>
        <w:t>9.1 总述</w:t>
      </w:r>
    </w:p>
    <w:p>
      <w:pPr>
        <w:spacing w:before="0" w:after="120" w:line="360" w:lineRule="auto"/>
        <w:ind w:firstLine="420"/>
      </w:pPr>
      <w:r>
        <w:rPr>
          <w:rFonts w:ascii="Times New Roman" w:hAnsi="Times New Roman" w:eastAsia="宋体"/>
          <w:b w:val="0"/>
          <w:i w:val="0"/>
          <w:sz w:val="24"/>
        </w:rPr>
        <w:t>本章规定本软件在数学模型、实现语言、编码规则、开发工具、测试环境以及可移植性方面的基本约束。</w:t>
      </w:r>
    </w:p>
    <w:p>
      <w:pPr>
        <w:pStyle w:val="Heading3"/>
        <w:spacing w:before="120" w:after="120" w:line="288" w:lineRule="auto"/>
        <w:ind w:firstLine="0"/>
      </w:pPr>
      <w:r>
        <w:rPr>
          <w:rFonts w:ascii="Times New Roman" w:hAnsi="Times New Roman" w:eastAsia="黑体"/>
          <w:b/>
          <w:sz w:val="26"/>
        </w:rPr>
        <w:t>9.2 数学模型与算法基线约束</w:t>
      </w:r>
    </w:p>
    <w:p>
      <w:pPr>
        <w:spacing w:before="0" w:after="120" w:line="360" w:lineRule="auto"/>
        <w:ind w:firstLine="420"/>
      </w:pPr>
      <w:r>
        <w:rPr>
          <w:rFonts w:ascii="Times New Roman" w:hAnsi="Times New Roman" w:eastAsia="宋体"/>
          <w:b w:val="0"/>
          <w:i w:val="0"/>
          <w:sz w:val="24"/>
        </w:rPr>
        <w:t>本任务书已确定系统级处理链、对象模型、时序边界以及本软件的主要算法处理要求。数字下变频、数字波束形成、数字脉冲压缩、稀疏处理、动目标指示、动目标检测、恒虚警检测、旁瓣匿影、杂波图处理、目标参数提取、目标数据打包以及相关测试校准算法，均作为本软件后续需求与设计展开的算法基线。</w:t>
      </w:r>
    </w:p>
    <w:p>
      <w:pPr>
        <w:pStyle w:val="Heading3"/>
        <w:spacing w:before="120" w:after="120" w:line="288" w:lineRule="auto"/>
        <w:ind w:firstLine="0"/>
      </w:pPr>
      <w:r>
        <w:rPr>
          <w:rFonts w:ascii="Times New Roman" w:hAnsi="Times New Roman" w:eastAsia="黑体"/>
          <w:b/>
          <w:sz w:val="26"/>
        </w:rPr>
        <w:t>9.3 编程语言、编码规则与架构约束</w:t>
      </w:r>
    </w:p>
    <w:p>
      <w:pPr>
        <w:spacing w:before="0" w:after="120" w:line="360" w:lineRule="auto"/>
        <w:ind w:firstLine="420"/>
      </w:pPr>
      <w:r>
        <w:rPr>
          <w:rFonts w:ascii="Times New Roman" w:hAnsi="Times New Roman" w:eastAsia="宋体"/>
          <w:b w:val="0"/>
          <w:i w:val="0"/>
          <w:sz w:val="24"/>
        </w:rPr>
        <w:t>软件实现语言和实现框架应满足 ARM64 服务器、Linux 环境、实时数据处理、异构并行计算和工程可维护性的要求。数据面处理链宜采用适合高性能实现的编译型语言及 GPU 配套实现方式；控制面及相关支撑能力可采用适用的系统软件开发方式。</w:t>
      </w:r>
    </w:p>
    <w:p>
      <w:pPr>
        <w:spacing w:before="0" w:after="120" w:line="360" w:lineRule="auto"/>
        <w:ind w:firstLine="420"/>
      </w:pPr>
      <w:r>
        <w:rPr>
          <w:rFonts w:ascii="Times New Roman" w:hAnsi="Times New Roman" w:eastAsia="宋体"/>
          <w:b w:val="0"/>
          <w:i w:val="0"/>
          <w:sz w:val="24"/>
        </w:rPr>
        <w:t xml:space="preserve">代码应遵循模块化、接口化、可观测性和职责单一原则。关键模块必须明确输入、输出、参数快照保持传递规则、质量标记规则和异常处理规则。任何模块不得绕过受控接口直接侵入其他模块的内部状态。软件编码应按照 </w:t>
      </w:r>
      <w:r>
        <w:rPr>
          <w:rFonts w:ascii="Consolas" w:hAnsi="Consolas" w:eastAsia="等线"/>
          <w:b w:val="0"/>
          <w:i w:val="0"/>
          <w:sz w:val="21"/>
        </w:rPr>
        <w:t>QG/JR500.12</w:t>
      </w:r>
      <w:r>
        <w:rPr>
          <w:rFonts w:ascii="Times New Roman" w:hAnsi="Times New Roman" w:eastAsia="宋体"/>
          <w:b w:val="0"/>
          <w:i w:val="0"/>
          <w:sz w:val="24"/>
        </w:rPr>
        <w:t xml:space="preserve"> 的规定执行。</w:t>
      </w:r>
    </w:p>
    <w:p>
      <w:pPr>
        <w:pStyle w:val="Heading3"/>
        <w:spacing w:before="120" w:after="120" w:line="288" w:lineRule="auto"/>
        <w:ind w:firstLine="0"/>
      </w:pPr>
      <w:r>
        <w:rPr>
          <w:rFonts w:ascii="Times New Roman" w:hAnsi="Times New Roman" w:eastAsia="黑体"/>
          <w:b/>
          <w:sz w:val="26"/>
        </w:rPr>
        <w:t>9.4 开发工具与环境要求</w:t>
      </w:r>
    </w:p>
    <w:p>
      <w:pPr>
        <w:spacing w:before="0" w:after="120" w:line="360" w:lineRule="auto"/>
        <w:ind w:firstLine="420"/>
      </w:pPr>
      <w:r>
        <w:rPr>
          <w:rFonts w:ascii="Times New Roman" w:hAnsi="Times New Roman" w:eastAsia="宋体"/>
          <w:b w:val="0"/>
          <w:i w:val="0"/>
          <w:sz w:val="24"/>
        </w:rPr>
        <w:t>开发环境应支持面向 ARM64 服务器平台的软件构建、部署、调试和回归验证。开发工具链应至少具备以下能力：</w:t>
      </w:r>
    </w:p>
    <w:p>
      <w:pPr>
        <w:pStyle w:val="ListNumber"/>
        <w:spacing w:before="0" w:after="60" w:line="324" w:lineRule="auto"/>
        <w:ind w:left="420" w:firstLine="0"/>
      </w:pPr>
      <w:r>
        <w:rPr>
          <w:rFonts w:ascii="Times New Roman" w:hAnsi="Times New Roman" w:eastAsia="宋体"/>
          <w:b w:val="0"/>
          <w:i w:val="0"/>
          <w:sz w:val="24"/>
        </w:rPr>
        <w:t>支持 ARM64 目标平台或等效环境的软件构建与调试；</w:t>
      </w:r>
    </w:p>
    <w:p>
      <w:pPr>
        <w:pStyle w:val="ListNumber"/>
        <w:spacing w:before="0" w:after="60" w:line="324" w:lineRule="auto"/>
        <w:ind w:left="420" w:firstLine="0"/>
      </w:pPr>
      <w:r>
        <w:rPr>
          <w:rFonts w:ascii="Times New Roman" w:hAnsi="Times New Roman" w:eastAsia="宋体"/>
          <w:b w:val="0"/>
          <w:i w:val="0"/>
          <w:sz w:val="24"/>
        </w:rPr>
        <w:t>支持网络抓包、回放、日志分析、性能分析和 NUMA 亲和性验证；</w:t>
      </w:r>
    </w:p>
    <w:p>
      <w:pPr>
        <w:pStyle w:val="ListNumber"/>
        <w:spacing w:before="0" w:after="60" w:line="324" w:lineRule="auto"/>
        <w:ind w:left="420" w:firstLine="0"/>
      </w:pPr>
      <w:r>
        <w:rPr>
          <w:rFonts w:ascii="Times New Roman" w:hAnsi="Times New Roman" w:eastAsia="宋体"/>
          <w:b w:val="0"/>
          <w:i w:val="0"/>
          <w:sz w:val="24"/>
        </w:rPr>
        <w:t>支持 GPU 调试、异构算子验证和 CPU/GPU 一致性比对；</w:t>
      </w:r>
    </w:p>
    <w:p>
      <w:pPr>
        <w:pStyle w:val="ListNumber"/>
        <w:spacing w:before="0" w:after="60" w:line="324" w:lineRule="auto"/>
        <w:ind w:left="420" w:firstLine="0"/>
      </w:pPr>
      <w:r>
        <w:rPr>
          <w:rFonts w:ascii="Times New Roman" w:hAnsi="Times New Roman" w:eastAsia="宋体"/>
          <w:b w:val="0"/>
          <w:i w:val="0"/>
          <w:sz w:val="24"/>
        </w:rPr>
        <w:t>具备版本管理、自动化构建和持续集成能力；</w:t>
      </w:r>
    </w:p>
    <w:p>
      <w:pPr>
        <w:pStyle w:val="ListNumber"/>
        <w:spacing w:before="0" w:after="60" w:line="324" w:lineRule="auto"/>
        <w:ind w:left="420" w:firstLine="0"/>
      </w:pPr>
      <w:r>
        <w:rPr>
          <w:rFonts w:ascii="Times New Roman" w:hAnsi="Times New Roman" w:eastAsia="宋体"/>
          <w:b w:val="0"/>
          <w:i w:val="0"/>
          <w:sz w:val="24"/>
        </w:rPr>
        <w:t>提供与所选 GPU 平台配套的开发、调试和运行时工具链。</w:t>
      </w:r>
    </w:p>
    <w:p>
      <w:pPr>
        <w:pStyle w:val="Heading3"/>
        <w:spacing w:before="120" w:after="120" w:line="288" w:lineRule="auto"/>
        <w:ind w:firstLine="0"/>
      </w:pPr>
      <w:r>
        <w:rPr>
          <w:rFonts w:ascii="Times New Roman" w:hAnsi="Times New Roman" w:eastAsia="黑体"/>
          <w:b/>
          <w:sz w:val="26"/>
        </w:rPr>
        <w:t>9.5 测试工具与环境要求</w:t>
      </w:r>
    </w:p>
    <w:p>
      <w:pPr>
        <w:spacing w:before="0" w:after="120" w:line="360" w:lineRule="auto"/>
        <w:ind w:firstLine="420"/>
      </w:pPr>
      <w:r>
        <w:rPr>
          <w:rFonts w:ascii="Times New Roman" w:hAnsi="Times New Roman" w:eastAsia="宋体"/>
          <w:b w:val="0"/>
          <w:i w:val="0"/>
          <w:sz w:val="24"/>
        </w:rPr>
        <w:t>单元测试、部件测试、集成测试、配置项测试和系统测试环境应覆盖本软件的主要运行条件和关键异常条件。测试环境至少应具备：</w:t>
      </w:r>
    </w:p>
    <w:p>
      <w:pPr>
        <w:pStyle w:val="ListNumber"/>
        <w:spacing w:before="0" w:after="60" w:line="324" w:lineRule="auto"/>
        <w:ind w:left="420" w:firstLine="0"/>
      </w:pPr>
      <w:r>
        <w:rPr>
          <w:rFonts w:ascii="Times New Roman" w:hAnsi="Times New Roman" w:eastAsia="宋体"/>
          <w:b w:val="0"/>
          <w:i w:val="0"/>
          <w:sz w:val="24"/>
        </w:rPr>
        <w:t>ARM64 目标环境或经批准的等效验证环境；</w:t>
      </w:r>
    </w:p>
    <w:p>
      <w:pPr>
        <w:pStyle w:val="ListNumber"/>
        <w:spacing w:before="0" w:after="60" w:line="324" w:lineRule="auto"/>
        <w:ind w:left="420" w:firstLine="0"/>
      </w:pPr>
      <w:r>
        <w:rPr>
          <w:rFonts w:ascii="Times New Roman" w:hAnsi="Times New Roman" w:eastAsia="宋体"/>
          <w:b w:val="0"/>
          <w:i w:val="0"/>
          <w:sz w:val="24"/>
        </w:rPr>
        <w:t>三阵面真实网络链路或可复现实装语义的等效回放链路；</w:t>
      </w:r>
    </w:p>
    <w:p>
      <w:pPr>
        <w:pStyle w:val="ListNumber"/>
        <w:spacing w:before="0" w:after="60" w:line="324" w:lineRule="auto"/>
        <w:ind w:left="420" w:firstLine="0"/>
      </w:pPr>
      <w:r>
        <w:rPr>
          <w:rFonts w:ascii="Times New Roman" w:hAnsi="Times New Roman" w:eastAsia="宋体"/>
          <w:b w:val="0"/>
          <w:i w:val="0"/>
          <w:sz w:val="24"/>
        </w:rPr>
        <w:t>软件秒边界事件的模拟、录制、回放和异常注入能力；</w:t>
      </w:r>
    </w:p>
    <w:p>
      <w:pPr>
        <w:pStyle w:val="ListNumber"/>
        <w:spacing w:before="0" w:after="60" w:line="324" w:lineRule="auto"/>
        <w:ind w:left="420" w:firstLine="0"/>
      </w:pPr>
      <w:r>
        <w:rPr>
          <w:rFonts w:ascii="Times New Roman" w:hAnsi="Times New Roman" w:eastAsia="宋体"/>
          <w:b w:val="0"/>
          <w:i w:val="0"/>
          <w:sz w:val="24"/>
        </w:rPr>
        <w:t>参数快照、周期状态、异常状态和模式状态的核查能力；</w:t>
      </w:r>
    </w:p>
    <w:p>
      <w:pPr>
        <w:pStyle w:val="ListNumber"/>
        <w:spacing w:before="0" w:after="60" w:line="324" w:lineRule="auto"/>
        <w:ind w:left="420" w:firstLine="0"/>
      </w:pPr>
      <w:r>
        <w:rPr>
          <w:rFonts w:ascii="Times New Roman" w:hAnsi="Times New Roman" w:eastAsia="宋体"/>
          <w:b w:val="0"/>
          <w:i w:val="0"/>
          <w:sz w:val="24"/>
        </w:rPr>
        <w:t>接收确认、生效确认、遥测、状态和链路异常场景的注入与联调能力；</w:t>
      </w:r>
    </w:p>
    <w:p>
      <w:pPr>
        <w:pStyle w:val="ListNumber"/>
        <w:spacing w:before="0" w:after="60" w:line="324" w:lineRule="auto"/>
        <w:ind w:left="420" w:firstLine="0"/>
      </w:pPr>
      <w:r>
        <w:rPr>
          <w:rFonts w:ascii="Times New Roman" w:hAnsi="Times New Roman" w:eastAsia="宋体"/>
          <w:b w:val="0"/>
          <w:i w:val="0"/>
          <w:sz w:val="24"/>
        </w:rPr>
        <w:t>日志、指标、抓包和性能分析工具。</w:t>
      </w:r>
    </w:p>
    <w:p>
      <w:pPr>
        <w:pStyle w:val="Heading3"/>
        <w:spacing w:before="120" w:after="120" w:line="288" w:lineRule="auto"/>
        <w:ind w:firstLine="0"/>
      </w:pPr>
      <w:r>
        <w:rPr>
          <w:rFonts w:ascii="Times New Roman" w:hAnsi="Times New Roman" w:eastAsia="黑体"/>
          <w:b/>
          <w:sz w:val="26"/>
        </w:rPr>
        <w:t>9.6 重用性、可移植性与扩展性要求</w:t>
      </w:r>
    </w:p>
    <w:p>
      <w:pPr>
        <w:spacing w:before="0" w:after="120" w:line="360" w:lineRule="auto"/>
        <w:ind w:firstLine="420"/>
      </w:pPr>
      <w:r>
        <w:rPr>
          <w:rFonts w:ascii="Times New Roman" w:hAnsi="Times New Roman" w:eastAsia="宋体"/>
          <w:b w:val="0"/>
          <w:i w:val="0"/>
          <w:sz w:val="24"/>
        </w:rPr>
        <w:t>本软件以服务器侧 ARM64 平台为目标部署基线。在满足实时性要求的前提下，软件设计应保持阵面数量、接口适配层、录制链路、回放链路、下游结果对象和显控接入方式的可扩展性。系统相关适配层不得与某一种固定网络承载方式、单一测试环境或单一部署形态强耦合。与本软件相关的输入对象、参数快照对象、结果对象和状态对象应保持语义稳定，为后续平台迁移、模块重用、功能扩展和接口演进预留空间。</w:t>
      </w:r>
    </w:p>
    <w:p>
      <w:pPr>
        <w:spacing w:before="60" w:after="60" w:line="240" w:lineRule="auto"/>
        <w:ind w:firstLine="0"/>
        <w:pBdr>
          <w:bottom w:val="single" w:sz="6" w:space="1" w:color="auto"/>
        </w:pBdr>
      </w:pPr>
    </w:p>
    <w:p>
      <w:pPr>
        <w:pStyle w:val="Heading2"/>
        <w:spacing w:before="240" w:after="120" w:line="288" w:lineRule="auto"/>
        <w:ind w:firstLine="0"/>
      </w:pPr>
      <w:r>
        <w:rPr>
          <w:rFonts w:ascii="Times New Roman" w:hAnsi="Times New Roman" w:eastAsia="黑体"/>
          <w:b/>
          <w:sz w:val="28"/>
        </w:rPr>
        <w:t>10 质量控制与验证要求</w:t>
      </w:r>
    </w:p>
    <w:p>
      <w:pPr>
        <w:pStyle w:val="Heading3"/>
        <w:spacing w:before="120" w:after="120" w:line="288" w:lineRule="auto"/>
        <w:ind w:firstLine="0"/>
      </w:pPr>
      <w:r>
        <w:rPr>
          <w:rFonts w:ascii="Times New Roman" w:hAnsi="Times New Roman" w:eastAsia="黑体"/>
          <w:b/>
          <w:sz w:val="26"/>
        </w:rPr>
        <w:t>10.1 软件关键性等级</w:t>
      </w:r>
    </w:p>
    <w:p>
      <w:pPr>
        <w:spacing w:before="0" w:after="120" w:line="360" w:lineRule="auto"/>
        <w:ind w:firstLine="420"/>
      </w:pPr>
      <w:r>
        <w:rPr>
          <w:rFonts w:ascii="Times New Roman" w:hAnsi="Times New Roman" w:eastAsia="宋体"/>
          <w:b w:val="0"/>
          <w:i w:val="0"/>
          <w:sz w:val="24"/>
        </w:rPr>
        <w:t>信号处理软件的关键重要度等级为</w:t>
      </w:r>
      <w:r>
        <w:rPr>
          <w:rFonts w:ascii="Times New Roman" w:hAnsi="Times New Roman" w:eastAsia="宋体"/>
          <w:b/>
          <w:i w:val="0"/>
          <w:sz w:val="24"/>
        </w:rPr>
        <w:t>重要</w:t>
      </w:r>
      <w:r>
        <w:rPr>
          <w:rFonts w:ascii="Times New Roman" w:hAnsi="Times New Roman" w:eastAsia="宋体"/>
          <w:b w:val="0"/>
          <w:i w:val="0"/>
          <w:sz w:val="24"/>
        </w:rPr>
        <w:t>。因此，本软件在需求、设计、实现、测试、评审、配置管理、问题定位与追溯和验收过程中，均应执行与其关键性等级相匹配的质量控制要求。</w:t>
      </w:r>
    </w:p>
    <w:p>
      <w:pPr>
        <w:pStyle w:val="Heading3"/>
        <w:spacing w:before="120" w:after="120" w:line="288" w:lineRule="auto"/>
        <w:ind w:firstLine="0"/>
      </w:pPr>
      <w:r>
        <w:rPr>
          <w:rFonts w:ascii="Times New Roman" w:hAnsi="Times New Roman" w:eastAsia="黑体"/>
          <w:b/>
          <w:sz w:val="26"/>
        </w:rPr>
        <w:t>10.2 适用标准</w:t>
      </w:r>
    </w:p>
    <w:p>
      <w:pPr>
        <w:spacing w:before="0" w:after="120" w:line="360" w:lineRule="auto"/>
        <w:ind w:firstLine="420"/>
      </w:pPr>
      <w:r>
        <w:rPr>
          <w:rFonts w:ascii="Times New Roman" w:hAnsi="Times New Roman" w:eastAsia="宋体"/>
          <w:b w:val="0"/>
          <w:i w:val="0"/>
          <w:sz w:val="24"/>
        </w:rPr>
        <w:t>本软件研制、管理和质量控制应至少遵循以下标准和规范：</w:t>
      </w:r>
    </w:p>
    <w:p>
      <w:pPr>
        <w:pStyle w:val="ListNumber"/>
        <w:spacing w:before="0" w:after="60" w:line="324" w:lineRule="auto"/>
        <w:ind w:left="420" w:firstLine="0"/>
      </w:pPr>
      <w:r>
        <w:rPr>
          <w:rFonts w:ascii="Times New Roman" w:hAnsi="Times New Roman" w:eastAsia="宋体"/>
          <w:b w:val="0"/>
          <w:i w:val="0"/>
          <w:sz w:val="24"/>
        </w:rPr>
        <w:t xml:space="preserve">软件工程过程按照《XX雷达软件产品规范》和 </w:t>
      </w:r>
      <w:r>
        <w:rPr>
          <w:rFonts w:ascii="Consolas" w:hAnsi="Consolas" w:eastAsia="等线"/>
          <w:b w:val="0"/>
          <w:i w:val="0"/>
          <w:sz w:val="21"/>
        </w:rPr>
        <w:t>QG/JR500.04《软件工程过程》</w:t>
      </w:r>
      <w:r>
        <w:rPr>
          <w:rFonts w:ascii="Times New Roman" w:hAnsi="Times New Roman" w:eastAsia="宋体"/>
          <w:b w:val="0"/>
          <w:i w:val="0"/>
          <w:sz w:val="24"/>
        </w:rPr>
        <w:t xml:space="preserve"> 执行；</w:t>
      </w:r>
    </w:p>
    <w:p>
      <w:pPr>
        <w:pStyle w:val="ListNumber"/>
        <w:spacing w:before="0" w:after="60" w:line="324" w:lineRule="auto"/>
        <w:ind w:left="420" w:firstLine="0"/>
      </w:pPr>
      <w:r>
        <w:rPr>
          <w:rFonts w:ascii="Times New Roman" w:hAnsi="Times New Roman" w:eastAsia="宋体"/>
          <w:b w:val="0"/>
          <w:i w:val="0"/>
          <w:sz w:val="24"/>
        </w:rPr>
        <w:t xml:space="preserve">软件项目管理过程按照 </w:t>
      </w:r>
      <w:r>
        <w:rPr>
          <w:rFonts w:ascii="Consolas" w:hAnsi="Consolas" w:eastAsia="等线"/>
          <w:b w:val="0"/>
          <w:i w:val="0"/>
          <w:sz w:val="21"/>
        </w:rPr>
        <w:t>QG/JR500.03《项目管理过程》</w:t>
      </w:r>
      <w:r>
        <w:rPr>
          <w:rFonts w:ascii="Times New Roman" w:hAnsi="Times New Roman" w:eastAsia="宋体"/>
          <w:b w:val="0"/>
          <w:i w:val="0"/>
          <w:sz w:val="24"/>
        </w:rPr>
        <w:t xml:space="preserve"> 执行；</w:t>
      </w:r>
    </w:p>
    <w:p>
      <w:pPr>
        <w:pStyle w:val="ListNumber"/>
        <w:spacing w:before="0" w:after="60" w:line="324" w:lineRule="auto"/>
        <w:ind w:left="420" w:firstLine="0"/>
      </w:pPr>
      <w:r>
        <w:rPr>
          <w:rFonts w:ascii="Times New Roman" w:hAnsi="Times New Roman" w:eastAsia="宋体"/>
          <w:b w:val="0"/>
          <w:i w:val="0"/>
          <w:sz w:val="24"/>
        </w:rPr>
        <w:t xml:space="preserve">软件质量保证过程按照 </w:t>
      </w:r>
      <w:r>
        <w:rPr>
          <w:rFonts w:ascii="Consolas" w:hAnsi="Consolas" w:eastAsia="等线"/>
          <w:b w:val="0"/>
          <w:i w:val="0"/>
          <w:sz w:val="21"/>
        </w:rPr>
        <w:t>QG/JR500.05《软件质量保证过程》</w:t>
      </w:r>
      <w:r>
        <w:rPr>
          <w:rFonts w:ascii="Times New Roman" w:hAnsi="Times New Roman" w:eastAsia="宋体"/>
          <w:b w:val="0"/>
          <w:i w:val="0"/>
          <w:sz w:val="24"/>
        </w:rPr>
        <w:t xml:space="preserve"> 执行；</w:t>
      </w:r>
    </w:p>
    <w:p>
      <w:pPr>
        <w:pStyle w:val="ListNumber"/>
        <w:spacing w:before="0" w:after="60" w:line="324" w:lineRule="auto"/>
        <w:ind w:left="420" w:firstLine="0"/>
      </w:pPr>
      <w:r>
        <w:rPr>
          <w:rFonts w:ascii="Times New Roman" w:hAnsi="Times New Roman" w:eastAsia="宋体"/>
          <w:b w:val="0"/>
          <w:i w:val="0"/>
          <w:sz w:val="24"/>
        </w:rPr>
        <w:t xml:space="preserve">软件配置管理过程按照 </w:t>
      </w:r>
      <w:r>
        <w:rPr>
          <w:rFonts w:ascii="Consolas" w:hAnsi="Consolas" w:eastAsia="等线"/>
          <w:b w:val="0"/>
          <w:i w:val="0"/>
          <w:sz w:val="21"/>
        </w:rPr>
        <w:t>QG/JR500.06《配置管理过程》</w:t>
      </w:r>
      <w:r>
        <w:rPr>
          <w:rFonts w:ascii="Times New Roman" w:hAnsi="Times New Roman" w:eastAsia="宋体"/>
          <w:b w:val="0"/>
          <w:i w:val="0"/>
          <w:sz w:val="24"/>
        </w:rPr>
        <w:t xml:space="preserve"> 执行；</w:t>
      </w:r>
    </w:p>
    <w:p>
      <w:pPr>
        <w:pStyle w:val="ListNumber"/>
        <w:spacing w:before="0" w:after="60" w:line="324" w:lineRule="auto"/>
        <w:ind w:left="420" w:firstLine="0"/>
      </w:pPr>
      <w:r>
        <w:rPr>
          <w:rFonts w:ascii="Times New Roman" w:hAnsi="Times New Roman" w:eastAsia="宋体"/>
          <w:b w:val="0"/>
          <w:i w:val="0"/>
          <w:sz w:val="24"/>
        </w:rPr>
        <w:t xml:space="preserve">软件编码过程按照 </w:t>
      </w:r>
      <w:r>
        <w:rPr>
          <w:rFonts w:ascii="Consolas" w:hAnsi="Consolas" w:eastAsia="等线"/>
          <w:b w:val="0"/>
          <w:i w:val="0"/>
          <w:sz w:val="21"/>
        </w:rPr>
        <w:t>QG/JR500.12</w:t>
      </w:r>
      <w:r>
        <w:rPr>
          <w:rFonts w:ascii="Times New Roman" w:hAnsi="Times New Roman" w:eastAsia="宋体"/>
          <w:b w:val="0"/>
          <w:i w:val="0"/>
          <w:sz w:val="24"/>
        </w:rPr>
        <w:t xml:space="preserve"> 的规定执行；</w:t>
      </w:r>
    </w:p>
    <w:p>
      <w:pPr>
        <w:pStyle w:val="ListNumber"/>
        <w:spacing w:before="0" w:after="60" w:line="324" w:lineRule="auto"/>
        <w:ind w:left="420" w:firstLine="0"/>
      </w:pPr>
      <w:r>
        <w:rPr>
          <w:rFonts w:ascii="Times New Roman" w:hAnsi="Times New Roman" w:eastAsia="宋体"/>
          <w:b w:val="0"/>
          <w:i w:val="0"/>
          <w:sz w:val="24"/>
        </w:rPr>
        <w:t xml:space="preserve">技术评审按照 </w:t>
      </w:r>
      <w:r>
        <w:rPr>
          <w:rFonts w:ascii="Consolas" w:hAnsi="Consolas" w:eastAsia="等线"/>
          <w:b w:val="0"/>
          <w:i w:val="0"/>
          <w:sz w:val="21"/>
        </w:rPr>
        <w:t>QJ/JR500.1《技术评审规程》</w:t>
      </w:r>
      <w:r>
        <w:rPr>
          <w:rFonts w:ascii="Times New Roman" w:hAnsi="Times New Roman" w:eastAsia="宋体"/>
          <w:b w:val="0"/>
          <w:i w:val="0"/>
          <w:sz w:val="24"/>
        </w:rPr>
        <w:t xml:space="preserve"> 执行；</w:t>
      </w:r>
    </w:p>
    <w:p>
      <w:pPr>
        <w:pStyle w:val="ListNumber"/>
        <w:spacing w:before="0" w:after="60" w:line="324" w:lineRule="auto"/>
        <w:ind w:left="420" w:firstLine="0"/>
      </w:pPr>
      <w:r>
        <w:rPr>
          <w:rFonts w:ascii="Times New Roman" w:hAnsi="Times New Roman" w:eastAsia="宋体"/>
          <w:b w:val="0"/>
          <w:i w:val="0"/>
          <w:sz w:val="24"/>
        </w:rPr>
        <w:t xml:space="preserve">软件测试参照 </w:t>
      </w:r>
      <w:r>
        <w:rPr>
          <w:rFonts w:ascii="Consolas" w:hAnsi="Consolas" w:eastAsia="等线"/>
          <w:b w:val="0"/>
          <w:i w:val="0"/>
          <w:sz w:val="21"/>
        </w:rPr>
        <w:t>QJ/JR500.9《软件测试指南》</w:t>
      </w:r>
      <w:r>
        <w:rPr>
          <w:rFonts w:ascii="Times New Roman" w:hAnsi="Times New Roman" w:eastAsia="宋体"/>
          <w:b w:val="0"/>
          <w:i w:val="0"/>
          <w:sz w:val="24"/>
        </w:rPr>
        <w:t xml:space="preserve"> 执行；</w:t>
      </w:r>
    </w:p>
    <w:p>
      <w:pPr>
        <w:pStyle w:val="ListNumber"/>
        <w:spacing w:before="0" w:after="60" w:line="324" w:lineRule="auto"/>
        <w:ind w:left="420" w:firstLine="0"/>
      </w:pPr>
      <w:r>
        <w:rPr>
          <w:rFonts w:ascii="Times New Roman" w:hAnsi="Times New Roman" w:eastAsia="宋体"/>
          <w:b w:val="0"/>
          <w:i w:val="0"/>
          <w:sz w:val="24"/>
        </w:rPr>
        <w:t xml:space="preserve">软件验收按照 </w:t>
      </w:r>
      <w:r>
        <w:rPr>
          <w:rFonts w:ascii="Consolas" w:hAnsi="Consolas" w:eastAsia="等线"/>
          <w:b w:val="0"/>
          <w:i w:val="0"/>
          <w:sz w:val="21"/>
        </w:rPr>
        <w:t>QJ/JR500.11《软件验收规程》</w:t>
      </w:r>
      <w:r>
        <w:rPr>
          <w:rFonts w:ascii="Times New Roman" w:hAnsi="Times New Roman" w:eastAsia="宋体"/>
          <w:b w:val="0"/>
          <w:i w:val="0"/>
          <w:sz w:val="24"/>
        </w:rPr>
        <w:t xml:space="preserve"> 执行。</w:t>
      </w:r>
    </w:p>
    <w:p>
      <w:pPr>
        <w:pStyle w:val="Heading3"/>
        <w:spacing w:before="120" w:after="120" w:line="288" w:lineRule="auto"/>
        <w:ind w:firstLine="0"/>
      </w:pPr>
      <w:r>
        <w:rPr>
          <w:rFonts w:ascii="Times New Roman" w:hAnsi="Times New Roman" w:eastAsia="黑体"/>
          <w:b/>
          <w:sz w:val="26"/>
        </w:rPr>
        <w:t>10.3 文档与评审要求</w:t>
      </w:r>
    </w:p>
    <w:p>
      <w:pPr>
        <w:spacing w:before="0" w:after="120" w:line="360" w:lineRule="auto"/>
        <w:ind w:firstLine="420"/>
      </w:pPr>
      <w:r>
        <w:rPr>
          <w:rFonts w:ascii="Times New Roman" w:hAnsi="Times New Roman" w:eastAsia="宋体"/>
          <w:b w:val="0"/>
          <w:i w:val="0"/>
          <w:sz w:val="24"/>
        </w:rPr>
        <w:t>本软件应形成与其研制阶段相匹配的开发文档、测试文档、配置管理文档和交付文档。软件开发文档清单及评审要求见表 10-1。</w:t>
      </w:r>
    </w:p>
    <w:p>
      <w:pPr>
        <w:pStyle w:val="Heading4"/>
        <w:spacing w:before="120" w:after="120" w:line="288" w:lineRule="auto"/>
        <w:ind w:firstLine="0"/>
      </w:pPr>
      <w:r>
        <w:rPr>
          <w:rFonts w:ascii="Times New Roman" w:hAnsi="Times New Roman" w:eastAsia="黑体"/>
          <w:b/>
          <w:sz w:val="24"/>
        </w:rPr>
        <w:t>表 10-1 软件开发文档清单及评审要求</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序号</w:t>
            </w:r>
          </w:p>
        </w:tc>
        <w:tc>
          <w:tcPr>
            <w:tcW w:type="dxa" w:w="3009"/>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文档名称</w:t>
            </w:r>
          </w:p>
        </w:tc>
        <w:tc>
          <w:tcPr>
            <w:tcW w:type="dxa" w:w="3009"/>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评审要求</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软件研制任务书</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外部评审（公司级评审）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软件开发计划</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3</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软件质量保证计划</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4</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软件配置管理计划</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5</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软件需求规格说明</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外部评审（公司级评审）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6</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软件设计说明</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7</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单元测试计划</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8</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单元测试说明</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9</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单元测试报告</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10</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软件集成报告</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11</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部件测试计划</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12</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部件测试说明</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13</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部件测试报告</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14</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软件用户手册</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15</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软件保障手册</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16</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配置项测试计划</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内部评审（所级评审）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17</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配置项测试说明</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内部评审（所级评审）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18</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配置项测试报告</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内部评审（所级评审）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19</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系统测试计划</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内部评审（所级评审）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20</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系统测试说明</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内部评审（所级评审）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21</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系统测试报告</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内部评审（所级评审）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22</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软件产品规格说明</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23</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软件版本说明</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内部评审（项目级评审）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24</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软件研制总结报告</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内部评审（所级评审）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25</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软件质量保证报告</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内部评审（所级评审）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26</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软件配置管理报告</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内部评审（所级评审）</w:t>
            </w:r>
          </w:p>
        </w:tc>
      </w:tr>
    </w:tbl>
    <w:p/>
    <w:p>
      <w:pPr>
        <w:spacing w:before="0" w:after="120" w:line="360" w:lineRule="auto"/>
        <w:ind w:firstLine="420"/>
      </w:pPr>
      <w:r>
        <w:rPr>
          <w:rFonts w:ascii="Times New Roman" w:hAnsi="Times New Roman" w:eastAsia="宋体"/>
          <w:b w:val="0"/>
          <w:i w:val="0"/>
          <w:sz w:val="24"/>
        </w:rPr>
        <w:t>注：在设计定型阶段，应编写软件研制总结报告、软件质量保证报告和软件配置管理报告。</w:t>
      </w:r>
    </w:p>
    <w:p>
      <w:pPr>
        <w:pStyle w:val="Heading3"/>
        <w:spacing w:before="120" w:after="120" w:line="288" w:lineRule="auto"/>
        <w:ind w:firstLine="0"/>
      </w:pPr>
      <w:r>
        <w:rPr>
          <w:rFonts w:ascii="Times New Roman" w:hAnsi="Times New Roman" w:eastAsia="黑体"/>
          <w:b/>
          <w:sz w:val="26"/>
        </w:rPr>
        <w:t>10.4 配置管理要求</w:t>
      </w:r>
    </w:p>
    <w:p>
      <w:pPr>
        <w:spacing w:before="0" w:after="120" w:line="360" w:lineRule="auto"/>
        <w:ind w:firstLine="420"/>
      </w:pPr>
      <w:r>
        <w:rPr>
          <w:rFonts w:ascii="Times New Roman" w:hAnsi="Times New Roman" w:eastAsia="宋体"/>
          <w:b w:val="0"/>
          <w:i w:val="0"/>
          <w:sz w:val="24"/>
        </w:rPr>
        <w:t xml:space="preserve">在软件开发和交付过程中，应按照 </w:t>
      </w:r>
      <w:r>
        <w:rPr>
          <w:rFonts w:ascii="Consolas" w:hAnsi="Consolas" w:eastAsia="等线"/>
          <w:b w:val="0"/>
          <w:i w:val="0"/>
          <w:sz w:val="21"/>
        </w:rPr>
        <w:t>QG/JR500.06《配置管理过程》</w:t>
      </w:r>
      <w:r>
        <w:rPr>
          <w:rFonts w:ascii="Times New Roman" w:hAnsi="Times New Roman" w:eastAsia="宋体"/>
          <w:b w:val="0"/>
          <w:i w:val="0"/>
          <w:sz w:val="24"/>
        </w:rPr>
        <w:t xml:space="preserve"> 的要求，对需求、设计、源代码、测试用例、测试报告、配置文件、脚本、构建产物和交付工件等工作产品实施配置管理。配置管理应至少覆盖版本控制、基线建立、变更申请、变更审批、版本标识、发布留痕和可追溯性维护等内容。涉及算法模型、参数快照对象、接口语义、异常处理规则和验收基线的变更，应纳入重点配置管理范围。</w:t>
      </w:r>
    </w:p>
    <w:p>
      <w:pPr>
        <w:pStyle w:val="Heading3"/>
        <w:spacing w:before="120" w:after="120" w:line="288" w:lineRule="auto"/>
        <w:ind w:firstLine="0"/>
      </w:pPr>
      <w:r>
        <w:rPr>
          <w:rFonts w:ascii="Times New Roman" w:hAnsi="Times New Roman" w:eastAsia="黑体"/>
          <w:b/>
          <w:sz w:val="26"/>
        </w:rPr>
        <w:t>10.5 测试与测评要求</w:t>
      </w:r>
    </w:p>
    <w:p>
      <w:pPr>
        <w:spacing w:before="0" w:after="120" w:line="360" w:lineRule="auto"/>
        <w:ind w:firstLine="420"/>
      </w:pPr>
      <w:r>
        <w:rPr>
          <w:rFonts w:ascii="Times New Roman" w:hAnsi="Times New Roman" w:eastAsia="宋体"/>
          <w:b w:val="0"/>
          <w:i w:val="0"/>
          <w:sz w:val="24"/>
        </w:rPr>
        <w:t>本软件必须开展内部测试，测试级别至少包括单元测试、部件测试、配置项测试和系统测试。测试内容应覆盖正常流程、模式切换、边界场景、异常场景、回放场景和降级场景。内部测试完成后，应按项目要求开展第三方测试；在定型前，必须开展定型测评。</w:t>
      </w:r>
    </w:p>
    <w:p>
      <w:pPr>
        <w:spacing w:before="0" w:after="120" w:line="360" w:lineRule="auto"/>
        <w:ind w:firstLine="420"/>
      </w:pPr>
      <w:r>
        <w:rPr>
          <w:rFonts w:ascii="Times New Roman" w:hAnsi="Times New Roman" w:eastAsia="宋体"/>
          <w:b w:val="0"/>
          <w:i w:val="0"/>
          <w:sz w:val="24"/>
        </w:rPr>
        <w:t>在测试覆盖上，应至少包括以下关键场景：</w:t>
      </w:r>
    </w:p>
    <w:p>
      <w:pPr>
        <w:pStyle w:val="ListNumber"/>
        <w:spacing w:before="0" w:after="60" w:line="324" w:lineRule="auto"/>
        <w:ind w:left="420" w:firstLine="0"/>
      </w:pPr>
      <w:r>
        <w:rPr>
          <w:rFonts w:ascii="Times New Roman" w:hAnsi="Times New Roman" w:eastAsia="宋体"/>
          <w:b w:val="0"/>
          <w:i w:val="0"/>
          <w:sz w:val="24"/>
        </w:rPr>
        <w:t>三阵面并行运行；</w:t>
      </w:r>
    </w:p>
    <w:p>
      <w:pPr>
        <w:pStyle w:val="ListNumber"/>
        <w:spacing w:before="0" w:after="60" w:line="324" w:lineRule="auto"/>
        <w:ind w:left="420" w:firstLine="0"/>
      </w:pPr>
      <w:r>
        <w:rPr>
          <w:rFonts w:ascii="Times New Roman" w:hAnsi="Times New Roman" w:eastAsia="宋体"/>
          <w:b w:val="0"/>
          <w:i w:val="0"/>
          <w:sz w:val="24"/>
        </w:rPr>
        <w:t>完整 CPI 数据单元形成与消费；</w:t>
      </w:r>
    </w:p>
    <w:p>
      <w:pPr>
        <w:pStyle w:val="ListNumber"/>
        <w:spacing w:before="0" w:after="60" w:line="324" w:lineRule="auto"/>
        <w:ind w:left="420" w:firstLine="0"/>
      </w:pPr>
      <w:r>
        <w:rPr>
          <w:rFonts w:ascii="Times New Roman" w:hAnsi="Times New Roman" w:eastAsia="宋体"/>
          <w:b w:val="0"/>
          <w:i w:val="0"/>
          <w:sz w:val="24"/>
        </w:rPr>
        <w:t>参数快照保持传递一致性；</w:t>
      </w:r>
    </w:p>
    <w:p>
      <w:pPr>
        <w:pStyle w:val="ListNumber"/>
        <w:spacing w:before="0" w:after="60" w:line="324" w:lineRule="auto"/>
        <w:ind w:left="420" w:firstLine="0"/>
      </w:pPr>
      <w:r>
        <w:rPr>
          <w:rFonts w:ascii="Times New Roman" w:hAnsi="Times New Roman" w:eastAsia="宋体"/>
          <w:b w:val="0"/>
          <w:i w:val="0"/>
          <w:sz w:val="24"/>
        </w:rPr>
        <w:t>搜索、跟踪/精跟、测试与校准模式处理；</w:t>
      </w:r>
    </w:p>
    <w:p>
      <w:pPr>
        <w:pStyle w:val="ListNumber"/>
        <w:spacing w:before="0" w:after="60" w:line="324" w:lineRule="auto"/>
        <w:ind w:left="420" w:firstLine="0"/>
      </w:pPr>
      <w:r>
        <w:rPr>
          <w:rFonts w:ascii="Times New Roman" w:hAnsi="Times New Roman" w:eastAsia="宋体"/>
          <w:b w:val="0"/>
          <w:i w:val="0"/>
          <w:sz w:val="24"/>
        </w:rPr>
        <w:t>软件秒边界事件驱动下的周期归属一致性；</w:t>
      </w:r>
    </w:p>
    <w:p>
      <w:pPr>
        <w:pStyle w:val="ListNumber"/>
        <w:spacing w:before="0" w:after="60" w:line="324" w:lineRule="auto"/>
        <w:ind w:left="420" w:firstLine="0"/>
      </w:pPr>
      <w:r>
        <w:rPr>
          <w:rFonts w:ascii="Times New Roman" w:hAnsi="Times New Roman" w:eastAsia="宋体"/>
          <w:b w:val="0"/>
          <w:i w:val="0"/>
          <w:sz w:val="24"/>
        </w:rPr>
        <w:t>缺包、乱序、截断、异常输入与受限输出；</w:t>
      </w:r>
    </w:p>
    <w:p>
      <w:pPr>
        <w:pStyle w:val="ListNumber"/>
        <w:spacing w:before="0" w:after="60" w:line="324" w:lineRule="auto"/>
        <w:ind w:left="420" w:firstLine="0"/>
      </w:pPr>
      <w:r>
        <w:rPr>
          <w:rFonts w:ascii="Times New Roman" w:hAnsi="Times New Roman" w:eastAsia="宋体"/>
          <w:b w:val="0"/>
          <w:i w:val="0"/>
          <w:sz w:val="24"/>
        </w:rPr>
        <w:t>原始录制、回放与问题复现；</w:t>
      </w:r>
    </w:p>
    <w:p>
      <w:pPr>
        <w:pStyle w:val="ListNumber"/>
        <w:spacing w:before="0" w:after="60" w:line="324" w:lineRule="auto"/>
        <w:ind w:left="420" w:firstLine="0"/>
      </w:pPr>
      <w:r>
        <w:rPr>
          <w:rFonts w:ascii="Times New Roman" w:hAnsi="Times New Roman" w:eastAsia="宋体"/>
          <w:b w:val="0"/>
          <w:i w:val="0"/>
          <w:sz w:val="24"/>
        </w:rPr>
        <w:t>CPU/GPU 协同处理结果一致性。</w:t>
      </w:r>
    </w:p>
    <w:p>
      <w:pPr>
        <w:pStyle w:val="Heading3"/>
        <w:spacing w:before="120" w:after="120" w:line="288" w:lineRule="auto"/>
        <w:ind w:firstLine="0"/>
      </w:pPr>
      <w:r>
        <w:rPr>
          <w:rFonts w:ascii="Times New Roman" w:hAnsi="Times New Roman" w:eastAsia="黑体"/>
          <w:b/>
          <w:sz w:val="26"/>
        </w:rPr>
        <w:t>10.6 对分承制方的要求</w:t>
      </w:r>
    </w:p>
    <w:p>
      <w:pPr>
        <w:spacing w:before="0" w:after="120" w:line="360" w:lineRule="auto"/>
        <w:ind w:firstLine="420"/>
      </w:pPr>
      <w:r>
        <w:rPr>
          <w:rFonts w:ascii="Times New Roman" w:hAnsi="Times New Roman" w:eastAsia="宋体"/>
          <w:b w:val="0"/>
          <w:i w:val="0"/>
          <w:sz w:val="24"/>
        </w:rPr>
        <w:t>如本软件研制过程中涉及分承制方，其质量要求、接口约束、交付约束、配置管理要求和测试要求不得低于本任务书对本软件配置项的总体要求。当前若无分承制方，则本条暂不展开。</w:t>
      </w:r>
    </w:p>
    <w:p>
      <w:pPr>
        <w:spacing w:before="60" w:after="60" w:line="240" w:lineRule="auto"/>
        <w:ind w:firstLine="0"/>
        <w:pBdr>
          <w:bottom w:val="single" w:sz="6" w:space="1" w:color="auto"/>
        </w:pBdr>
      </w:pPr>
    </w:p>
    <w:p>
      <w:pPr>
        <w:pStyle w:val="Heading2"/>
        <w:spacing w:before="240" w:after="120" w:line="288" w:lineRule="auto"/>
        <w:ind w:firstLine="0"/>
      </w:pPr>
      <w:r>
        <w:rPr>
          <w:rFonts w:ascii="Times New Roman" w:hAnsi="Times New Roman" w:eastAsia="黑体"/>
          <w:b/>
          <w:sz w:val="28"/>
        </w:rPr>
        <w:t>11 验收与交付要求</w:t>
      </w:r>
    </w:p>
    <w:p>
      <w:pPr>
        <w:pStyle w:val="Heading3"/>
        <w:spacing w:before="120" w:after="120" w:line="288" w:lineRule="auto"/>
        <w:ind w:firstLine="0"/>
      </w:pPr>
      <w:r>
        <w:rPr>
          <w:rFonts w:ascii="Times New Roman" w:hAnsi="Times New Roman" w:eastAsia="黑体"/>
          <w:b/>
          <w:sz w:val="26"/>
        </w:rPr>
        <w:t>11.1 验收准则</w:t>
      </w:r>
    </w:p>
    <w:p>
      <w:pPr>
        <w:spacing w:before="0" w:after="120" w:line="360" w:lineRule="auto"/>
        <w:ind w:firstLine="420"/>
      </w:pPr>
      <w:r>
        <w:rPr>
          <w:rFonts w:ascii="Times New Roman" w:hAnsi="Times New Roman" w:eastAsia="宋体"/>
          <w:b w:val="0"/>
          <w:i w:val="0"/>
          <w:sz w:val="24"/>
        </w:rPr>
        <w:t>本软件验收应至少满足以下准则：</w:t>
      </w:r>
    </w:p>
    <w:p>
      <w:pPr>
        <w:pStyle w:val="ListNumber"/>
        <w:spacing w:before="0" w:after="60" w:line="324" w:lineRule="auto"/>
        <w:ind w:left="420" w:firstLine="0"/>
      </w:pPr>
      <w:r>
        <w:rPr>
          <w:rFonts w:ascii="Times New Roman" w:hAnsi="Times New Roman" w:eastAsia="宋体"/>
          <w:b w:val="0"/>
          <w:i w:val="0"/>
          <w:sz w:val="24"/>
        </w:rPr>
        <w:t>文档编制齐全，且与当前服务器—前端阵面—显控协同架构要求一致；</w:t>
      </w:r>
    </w:p>
    <w:p>
      <w:pPr>
        <w:pStyle w:val="ListNumber"/>
        <w:spacing w:before="0" w:after="60" w:line="324" w:lineRule="auto"/>
        <w:ind w:left="420" w:firstLine="0"/>
      </w:pPr>
      <w:r>
        <w:rPr>
          <w:rFonts w:ascii="Times New Roman" w:hAnsi="Times New Roman" w:eastAsia="宋体"/>
          <w:b w:val="0"/>
          <w:i w:val="0"/>
          <w:sz w:val="24"/>
        </w:rPr>
        <w:t>软件定位、职责边界、接口模型、输入输出对象、参数快照语义、周期边界语义和验收要求在文档之间应保持一致，且应与实现结果和验证结果一致；</w:t>
      </w:r>
    </w:p>
    <w:p>
      <w:pPr>
        <w:pStyle w:val="ListNumber"/>
        <w:spacing w:before="0" w:after="60" w:line="324" w:lineRule="auto"/>
        <w:ind w:left="420" w:firstLine="0"/>
      </w:pPr>
      <w:r>
        <w:rPr>
          <w:rFonts w:ascii="Times New Roman" w:hAnsi="Times New Roman" w:eastAsia="宋体"/>
          <w:b w:val="0"/>
          <w:i w:val="0"/>
          <w:sz w:val="24"/>
        </w:rPr>
        <w:t>软件通过配置项测试，并覆盖三阵面并行运行、完整 CPI 数据单元处理、参数快照保持传递、软件秒边界事件相关场景、异常降级和回放复现等关键场景；</w:t>
      </w:r>
    </w:p>
    <w:p>
      <w:pPr>
        <w:pStyle w:val="ListNumber"/>
        <w:spacing w:before="0" w:after="60" w:line="324" w:lineRule="auto"/>
        <w:ind w:left="420" w:firstLine="0"/>
      </w:pPr>
      <w:r>
        <w:rPr>
          <w:rFonts w:ascii="Times New Roman" w:hAnsi="Times New Roman" w:eastAsia="宋体"/>
          <w:b w:val="0"/>
          <w:i w:val="0"/>
          <w:sz w:val="24"/>
        </w:rPr>
        <w:t>软件工作产品已纳入配置管理并可追溯；</w:t>
      </w:r>
    </w:p>
    <w:p>
      <w:pPr>
        <w:pStyle w:val="ListNumber"/>
        <w:spacing w:before="0" w:after="60" w:line="324" w:lineRule="auto"/>
        <w:ind w:left="420" w:firstLine="0"/>
      </w:pPr>
      <w:r>
        <w:rPr>
          <w:rFonts w:ascii="Times New Roman" w:hAnsi="Times New Roman" w:eastAsia="宋体"/>
          <w:b w:val="0"/>
          <w:i w:val="0"/>
          <w:sz w:val="24"/>
        </w:rPr>
        <w:t>验收环境应为真实实物平台或经批准的等效联调与回放环境；</w:t>
      </w:r>
    </w:p>
    <w:p>
      <w:pPr>
        <w:pStyle w:val="ListNumber"/>
        <w:spacing w:before="0" w:after="60" w:line="324" w:lineRule="auto"/>
        <w:ind w:left="420" w:firstLine="0"/>
      </w:pPr>
      <w:r>
        <w:rPr>
          <w:rFonts w:ascii="Times New Roman" w:hAnsi="Times New Roman" w:eastAsia="宋体"/>
          <w:b w:val="0"/>
          <w:i w:val="0"/>
          <w:sz w:val="24"/>
        </w:rPr>
        <w:t xml:space="preserve">验收应按照 </w:t>
      </w:r>
      <w:r>
        <w:rPr>
          <w:rFonts w:ascii="Consolas" w:hAnsi="Consolas" w:eastAsia="等线"/>
          <w:b w:val="0"/>
          <w:i w:val="0"/>
          <w:sz w:val="21"/>
        </w:rPr>
        <w:t>QJ/JR500.11《软件验收规程》</w:t>
      </w:r>
      <w:r>
        <w:rPr>
          <w:rFonts w:ascii="Times New Roman" w:hAnsi="Times New Roman" w:eastAsia="宋体"/>
          <w:b w:val="0"/>
          <w:i w:val="0"/>
          <w:sz w:val="24"/>
        </w:rPr>
        <w:t xml:space="preserve"> 的要求执行。</w:t>
      </w:r>
    </w:p>
    <w:p>
      <w:pPr>
        <w:pStyle w:val="Heading3"/>
        <w:spacing w:before="120" w:after="120" w:line="288" w:lineRule="auto"/>
        <w:ind w:firstLine="0"/>
      </w:pPr>
      <w:r>
        <w:rPr>
          <w:rFonts w:ascii="Times New Roman" w:hAnsi="Times New Roman" w:eastAsia="黑体"/>
          <w:b/>
          <w:sz w:val="26"/>
        </w:rPr>
        <w:t>11.2 交付要求</w:t>
      </w:r>
    </w:p>
    <w:p>
      <w:pPr>
        <w:spacing w:before="0" w:after="120" w:line="360" w:lineRule="auto"/>
        <w:ind w:firstLine="420"/>
      </w:pPr>
      <w:r>
        <w:rPr>
          <w:rFonts w:ascii="Times New Roman" w:hAnsi="Times New Roman" w:eastAsia="宋体"/>
          <w:b w:val="0"/>
          <w:i w:val="0"/>
          <w:sz w:val="24"/>
        </w:rPr>
        <w:t>软件通过验收后，应随产品统一交付。交付内容至少应包括：可执行软件版本、配置文件、版本说明、用户手册、保障手册、测试报告、配置管理记录以及与验收基线对应的必要文档。交付版本必须与受控配置基线一致，不得出现“文档版本、测试版本、交付版本”互不一致的情况。</w:t>
      </w:r>
    </w:p>
    <w:p>
      <w:pPr>
        <w:spacing w:before="60" w:after="60" w:line="240" w:lineRule="auto"/>
        <w:ind w:firstLine="0"/>
        <w:pBdr>
          <w:bottom w:val="single" w:sz="6" w:space="1" w:color="auto"/>
        </w:pBdr>
      </w:pPr>
    </w:p>
    <w:p>
      <w:pPr>
        <w:pStyle w:val="Heading2"/>
        <w:spacing w:before="240" w:after="120" w:line="288" w:lineRule="auto"/>
        <w:ind w:firstLine="0"/>
      </w:pPr>
      <w:r>
        <w:rPr>
          <w:rFonts w:ascii="Times New Roman" w:hAnsi="Times New Roman" w:eastAsia="黑体"/>
          <w:b/>
          <w:sz w:val="28"/>
        </w:rPr>
        <w:t>12 软件保障与维护要求</w:t>
      </w:r>
    </w:p>
    <w:p>
      <w:pPr>
        <w:pStyle w:val="Heading3"/>
        <w:spacing w:before="120" w:after="120" w:line="288" w:lineRule="auto"/>
        <w:ind w:firstLine="0"/>
      </w:pPr>
      <w:r>
        <w:rPr>
          <w:rFonts w:ascii="Times New Roman" w:hAnsi="Times New Roman" w:eastAsia="黑体"/>
          <w:b/>
          <w:sz w:val="26"/>
        </w:rPr>
        <w:t>12.1 维护与变更控制要求</w:t>
      </w:r>
    </w:p>
    <w:p>
      <w:pPr>
        <w:spacing w:before="0" w:after="120" w:line="360" w:lineRule="auto"/>
        <w:ind w:firstLine="420"/>
      </w:pPr>
      <w:r>
        <w:rPr>
          <w:rFonts w:ascii="Times New Roman" w:hAnsi="Times New Roman" w:eastAsia="宋体"/>
          <w:b w:val="0"/>
          <w:i w:val="0"/>
          <w:sz w:val="24"/>
        </w:rPr>
        <w:t xml:space="preserve">软件产品交付后，应按照 </w:t>
      </w:r>
      <w:r>
        <w:rPr>
          <w:rFonts w:ascii="Consolas" w:hAnsi="Consolas" w:eastAsia="等线"/>
          <w:b w:val="0"/>
          <w:i w:val="0"/>
          <w:sz w:val="21"/>
        </w:rPr>
        <w:t>QG/JR500.11《软件维护规程》</w:t>
      </w:r>
      <w:r>
        <w:rPr>
          <w:rFonts w:ascii="Times New Roman" w:hAnsi="Times New Roman" w:eastAsia="宋体"/>
          <w:b w:val="0"/>
          <w:i w:val="0"/>
          <w:sz w:val="24"/>
        </w:rPr>
        <w:t xml:space="preserve"> 的要求进行维护和变更控制。任何涉及算法模型、接口语义、参数快照、异常处理规则、边界语义和验收基线的修改，均应执行受控变更流程，完成影响分析、版本升级、必要验证和文档同步。</w:t>
      </w:r>
    </w:p>
    <w:p>
      <w:pPr>
        <w:pStyle w:val="Heading3"/>
        <w:spacing w:before="120" w:after="120" w:line="288" w:lineRule="auto"/>
        <w:ind w:firstLine="0"/>
      </w:pPr>
      <w:r>
        <w:rPr>
          <w:rFonts w:ascii="Times New Roman" w:hAnsi="Times New Roman" w:eastAsia="黑体"/>
          <w:b/>
          <w:sz w:val="26"/>
        </w:rPr>
        <w:t>12.2 运行保障要求</w:t>
      </w:r>
    </w:p>
    <w:p>
      <w:pPr>
        <w:spacing w:before="0" w:after="120" w:line="360" w:lineRule="auto"/>
        <w:ind w:firstLine="420"/>
      </w:pPr>
      <w:r>
        <w:rPr>
          <w:rFonts w:ascii="Times New Roman" w:hAnsi="Times New Roman" w:eastAsia="宋体"/>
          <w:b w:val="0"/>
          <w:i w:val="0"/>
          <w:sz w:val="24"/>
        </w:rPr>
        <w:t>为保证本软件长期可维护、可追溯、可回放和可定位，交付版本应具备必要的运行保障能力，包括但不限于：运行日志、状态输出、质量和异常标记、版本标识、配置留痕、问题复现支持以及与录制回放链路的协同能力。软件保障能力不得破坏实时主处理链的基本运行要求。</w:t>
      </w:r>
    </w:p>
    <w:p>
      <w:pPr>
        <w:spacing w:before="60" w:after="60" w:line="240" w:lineRule="auto"/>
        <w:ind w:firstLine="0"/>
        <w:pBdr>
          <w:bottom w:val="single" w:sz="6" w:space="1" w:color="auto"/>
        </w:pBdr>
      </w:pPr>
    </w:p>
    <w:p>
      <w:pPr>
        <w:pStyle w:val="Heading2"/>
        <w:spacing w:before="240" w:after="120" w:line="288" w:lineRule="auto"/>
        <w:ind w:firstLine="0"/>
      </w:pPr>
      <w:r>
        <w:rPr>
          <w:rFonts w:ascii="Times New Roman" w:hAnsi="Times New Roman" w:eastAsia="黑体"/>
          <w:b/>
          <w:sz w:val="28"/>
        </w:rPr>
        <w:t>13 进度与里程碑要求</w:t>
      </w:r>
    </w:p>
    <w:p>
      <w:pPr>
        <w:pStyle w:val="Heading3"/>
        <w:spacing w:before="120" w:after="120" w:line="288" w:lineRule="auto"/>
        <w:ind w:firstLine="0"/>
      </w:pPr>
      <w:r>
        <w:rPr>
          <w:rFonts w:ascii="Times New Roman" w:hAnsi="Times New Roman" w:eastAsia="黑体"/>
          <w:b/>
          <w:sz w:val="26"/>
        </w:rPr>
        <w:t>13.1 进度要求</w:t>
      </w:r>
    </w:p>
    <w:p>
      <w:pPr>
        <w:spacing w:before="0" w:after="120" w:line="360" w:lineRule="auto"/>
        <w:ind w:firstLine="420"/>
      </w:pPr>
      <w:r>
        <w:rPr>
          <w:rFonts w:ascii="Times New Roman" w:hAnsi="Times New Roman" w:eastAsia="宋体"/>
          <w:b w:val="0"/>
          <w:i w:val="0"/>
          <w:sz w:val="24"/>
        </w:rPr>
        <w:t>本软件研制进度应服从项目总体计划安排，并与需求分析、设计定版、实现联调、测试验收和交付准备等关键阶段保持一致。具体日期由项目总体计划下达，但软件计划不得脱离硬件联调计划、接口收敛计划和验收节点单独漂移。</w:t>
      </w:r>
    </w:p>
    <w:p>
      <w:pPr>
        <w:pStyle w:val="Heading3"/>
        <w:spacing w:before="120" w:after="120" w:line="288" w:lineRule="auto"/>
        <w:ind w:firstLine="0"/>
      </w:pPr>
      <w:r>
        <w:rPr>
          <w:rFonts w:ascii="Times New Roman" w:hAnsi="Times New Roman" w:eastAsia="黑体"/>
          <w:b/>
          <w:sz w:val="26"/>
        </w:rPr>
        <w:t>13.2 里程碑要求</w:t>
      </w:r>
    </w:p>
    <w:p>
      <w:pPr>
        <w:spacing w:before="0" w:after="120" w:line="360" w:lineRule="auto"/>
        <w:ind w:firstLine="420"/>
      </w:pPr>
      <w:r>
        <w:rPr>
          <w:rFonts w:ascii="Times New Roman" w:hAnsi="Times New Roman" w:eastAsia="宋体"/>
          <w:b w:val="0"/>
          <w:i w:val="0"/>
          <w:sz w:val="24"/>
        </w:rPr>
        <w:t>本软件至少应设置以下里程碑节点：</w:t>
      </w:r>
    </w:p>
    <w:p>
      <w:pPr>
        <w:pStyle w:val="Heading4"/>
        <w:spacing w:before="120" w:after="120" w:line="288" w:lineRule="auto"/>
        <w:ind w:firstLine="0"/>
      </w:pPr>
      <w:r>
        <w:rPr>
          <w:rFonts w:ascii="Times New Roman" w:hAnsi="Times New Roman" w:eastAsia="黑体"/>
          <w:b/>
          <w:sz w:val="24"/>
        </w:rPr>
        <w:t>表 13-1 项目里程碑表</w:t>
      </w:r>
    </w:p>
    <w:tbl>
      <w:tblPr>
        <w:tblStyle w:val="TableGrid"/>
        <w:tblW w:type="auto" w:w="0"/>
        <w:tblLook w:firstColumn="1" w:firstRow="1" w:lastColumn="0" w:lastRow="0" w:noHBand="0" w:noVBand="1" w:val="04A0"/>
      </w:tblPr>
      <w:tblGrid>
        <w:gridCol w:w="3009"/>
        <w:gridCol w:w="3009"/>
        <w:gridCol w:w="3009"/>
      </w:tblGrid>
      <w:tr>
        <w:tc>
          <w:tcPr>
            <w:tcW w:type="dxa" w:w="3009"/>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序号</w:t>
            </w:r>
          </w:p>
        </w:tc>
        <w:tc>
          <w:tcPr>
            <w:tcW w:type="dxa" w:w="3009"/>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里程碑名称</w:t>
            </w:r>
          </w:p>
        </w:tc>
        <w:tc>
          <w:tcPr>
            <w:tcW w:type="dxa" w:w="3009"/>
          </w:tcPr>
          <w:p>
            <w:pPr>
              <w:spacing w:before="0" w:after="0" w:line="288" w:lineRule="auto"/>
              <w:ind w:firstLine="0"/>
            </w:pPr>
            <w:r>
              <w:rPr>
                <w:rFonts w:ascii="Times New Roman" w:hAnsi="Times New Roman" w:eastAsia="宋体"/>
                <w:b/>
                <w:sz w:val="21"/>
              </w:rPr>
            </w:r>
            <w:r>
              <w:rPr>
                <w:rFonts w:ascii="Times New Roman" w:hAnsi="Times New Roman" w:eastAsia="宋体"/>
                <w:b/>
                <w:i w:val="0"/>
                <w:sz w:val="24"/>
              </w:rPr>
              <w:t>工作内容</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1</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软件需求分析完成</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完成软件需求规格说明及需求评审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2</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软件设计完成</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完成软件设计说明及设计评审</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3</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软件实现完成</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完成软件实现、单元测试和部件测试</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4</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配置项测试完成</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完成配置项测试及测试报告</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5</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系统联调完成</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完成与前端阵面、控制面和下游模块的系统联调</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6</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验收准备完成</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完成交付版本冻结、文档齐套和验收资料准备</w:t>
            </w:r>
          </w:p>
        </w:tc>
      </w:tr>
      <w:tr>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7</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软件验收完成</w:t>
            </w:r>
          </w:p>
        </w:tc>
        <w:tc>
          <w:tcPr>
            <w:tcW w:type="dxa" w:w="3009"/>
          </w:tcPr>
          <w:p>
            <w:pPr>
              <w:spacing w:before="0" w:after="0" w:line="288" w:lineRule="auto"/>
              <w:ind w:firstLine="0"/>
            </w:pPr>
            <w:r>
              <w:rPr>
                <w:rFonts w:ascii="Times New Roman" w:hAnsi="Times New Roman" w:eastAsia="宋体"/>
                <w:sz w:val="21"/>
              </w:rPr>
            </w:r>
            <w:r>
              <w:rPr>
                <w:rFonts w:ascii="Times New Roman" w:hAnsi="Times New Roman" w:eastAsia="宋体"/>
                <w:b w:val="0"/>
                <w:i w:val="0"/>
                <w:sz w:val="24"/>
              </w:rPr>
              <w:t>完成配置项/系统级验收并形成验收结论</w:t>
            </w:r>
          </w:p>
        </w:tc>
      </w:tr>
    </w:tbl>
    <w:p/>
    <w:p>
      <w:pPr>
        <w:spacing w:before="0" w:after="120" w:line="360" w:lineRule="auto"/>
        <w:ind w:firstLine="420"/>
      </w:pPr>
      <w:r>
        <w:rPr>
          <w:rFonts w:ascii="Times New Roman" w:hAnsi="Times New Roman" w:eastAsia="宋体"/>
          <w:b w:val="0"/>
          <w:i w:val="0"/>
          <w:sz w:val="24"/>
        </w:rPr>
        <w:t>如项目总体另有正式里程碑安排，应以项目总体受控计划为准。</w:t>
      </w:r>
    </w:p>
    <w:p>
      <w:pPr>
        <w:pStyle w:val="Heading3"/>
        <w:spacing w:before="120" w:after="120" w:line="288" w:lineRule="auto"/>
        <w:ind w:firstLine="0"/>
      </w:pPr>
      <w:r>
        <w:rPr>
          <w:rFonts w:ascii="Times New Roman" w:hAnsi="Times New Roman" w:eastAsia="黑体"/>
          <w:b/>
          <w:sz w:val="26"/>
        </w:rPr>
        <w:t>13.3 需方参加的评审</w:t>
      </w:r>
    </w:p>
    <w:p>
      <w:pPr>
        <w:spacing w:before="0" w:after="120" w:line="360" w:lineRule="auto"/>
        <w:ind w:firstLine="420"/>
      </w:pPr>
      <w:r>
        <w:rPr>
          <w:rFonts w:ascii="Times New Roman" w:hAnsi="Times New Roman" w:eastAsia="宋体"/>
          <w:b w:val="0"/>
          <w:i w:val="0"/>
          <w:sz w:val="24"/>
        </w:rPr>
        <w:t>软件需求规格说明评审、配置项测试评审、系统测试评审以及项目要求的其他关键评审，应有需方或军代表参加。涉及接口语义、边界语义、算法基线和验收基线的重要评审节点，不得缺失外部见证或确认。</w:t>
      </w:r>
    </w:p>
    <w:p>
      <w:pPr>
        <w:spacing w:before="60" w:after="60" w:line="240" w:lineRule="auto"/>
        <w:ind w:firstLine="0"/>
        <w:pBdr>
          <w:bottom w:val="single" w:sz="6" w:space="1" w:color="auto"/>
        </w:pBdr>
      </w:pPr>
    </w:p>
    <w:p>
      <w:pPr>
        <w:pStyle w:val="Heading2"/>
        <w:spacing w:before="240" w:after="120" w:line="288" w:lineRule="auto"/>
        <w:ind w:firstLine="0"/>
      </w:pPr>
      <w:r>
        <w:rPr>
          <w:rFonts w:ascii="Times New Roman" w:hAnsi="Times New Roman" w:eastAsia="黑体"/>
          <w:b/>
          <w:sz w:val="28"/>
        </w:rPr>
        <w:t>14 术语、缩略语和定义</w:t>
      </w:r>
    </w:p>
    <w:p>
      <w:pPr>
        <w:pStyle w:val="ListBullet"/>
        <w:spacing w:before="0" w:after="60" w:line="324" w:lineRule="auto"/>
        <w:ind w:left="420" w:firstLine="0"/>
      </w:pPr>
      <w:r>
        <w:rPr>
          <w:rFonts w:ascii="Times New Roman" w:hAnsi="Times New Roman" w:eastAsia="宋体"/>
          <w:b/>
          <w:i w:val="0"/>
          <w:sz w:val="24"/>
        </w:rPr>
        <w:t>CPI</w:t>
      </w:r>
      <w:r>
        <w:rPr>
          <w:rFonts w:ascii="Times New Roman" w:hAnsi="Times New Roman" w:eastAsia="宋体"/>
          <w:b w:val="0"/>
          <w:i w:val="0"/>
          <w:sz w:val="24"/>
        </w:rPr>
        <w:t>：相干处理间隔，是数据面主要处理单元之一；</w:t>
      </w:r>
    </w:p>
    <w:p>
      <w:pPr>
        <w:pStyle w:val="ListBullet"/>
        <w:spacing w:before="0" w:after="60" w:line="324" w:lineRule="auto"/>
        <w:ind w:left="420" w:firstLine="0"/>
      </w:pPr>
      <w:r>
        <w:rPr>
          <w:rFonts w:ascii="Times New Roman" w:hAnsi="Times New Roman" w:eastAsia="宋体"/>
          <w:b/>
          <w:i w:val="0"/>
          <w:sz w:val="24"/>
        </w:rPr>
        <w:t>PRF</w:t>
      </w:r>
      <w:r>
        <w:rPr>
          <w:rFonts w:ascii="Times New Roman" w:hAnsi="Times New Roman" w:eastAsia="宋体"/>
          <w:b w:val="0"/>
          <w:i w:val="0"/>
          <w:sz w:val="24"/>
        </w:rPr>
        <w:t>：脉冲重复频率；</w:t>
      </w:r>
    </w:p>
    <w:p>
      <w:pPr>
        <w:pStyle w:val="ListBullet"/>
        <w:spacing w:before="0" w:after="60" w:line="324" w:lineRule="auto"/>
        <w:ind w:left="420" w:firstLine="0"/>
      </w:pPr>
      <w:r>
        <w:rPr>
          <w:rFonts w:ascii="Times New Roman" w:hAnsi="Times New Roman" w:eastAsia="宋体"/>
          <w:b/>
          <w:i w:val="0"/>
          <w:sz w:val="24"/>
        </w:rPr>
        <w:t>PRT</w:t>
      </w:r>
      <w:r>
        <w:rPr>
          <w:rFonts w:ascii="Times New Roman" w:hAnsi="Times New Roman" w:eastAsia="宋体"/>
          <w:b w:val="0"/>
          <w:i w:val="0"/>
          <w:sz w:val="24"/>
        </w:rPr>
        <w:t>：脉冲重复周期；</w:t>
      </w:r>
    </w:p>
    <w:p>
      <w:pPr>
        <w:pStyle w:val="ListBullet"/>
        <w:spacing w:before="0" w:after="60" w:line="324" w:lineRule="auto"/>
        <w:ind w:left="420" w:firstLine="0"/>
      </w:pPr>
      <w:r>
        <w:rPr>
          <w:rFonts w:ascii="Times New Roman" w:hAnsi="Times New Roman" w:eastAsia="宋体"/>
          <w:b/>
          <w:i w:val="0"/>
          <w:sz w:val="24"/>
        </w:rPr>
        <w:t>DDC</w:t>
      </w:r>
      <w:r>
        <w:rPr>
          <w:rFonts w:ascii="Times New Roman" w:hAnsi="Times New Roman" w:eastAsia="宋体"/>
          <w:b w:val="0"/>
          <w:i w:val="0"/>
          <w:sz w:val="24"/>
        </w:rPr>
        <w:t>：数字下变频；</w:t>
      </w:r>
    </w:p>
    <w:p>
      <w:pPr>
        <w:pStyle w:val="ListBullet"/>
        <w:spacing w:before="0" w:after="60" w:line="324" w:lineRule="auto"/>
        <w:ind w:left="420" w:firstLine="0"/>
      </w:pPr>
      <w:r>
        <w:rPr>
          <w:rFonts w:ascii="Times New Roman" w:hAnsi="Times New Roman" w:eastAsia="宋体"/>
          <w:b/>
          <w:i w:val="0"/>
          <w:sz w:val="24"/>
        </w:rPr>
        <w:t>DBF</w:t>
      </w:r>
      <w:r>
        <w:rPr>
          <w:rFonts w:ascii="Times New Roman" w:hAnsi="Times New Roman" w:eastAsia="宋体"/>
          <w:b w:val="0"/>
          <w:i w:val="0"/>
          <w:sz w:val="24"/>
        </w:rPr>
        <w:t>：数字波束形成；</w:t>
      </w:r>
    </w:p>
    <w:p>
      <w:pPr>
        <w:pStyle w:val="ListBullet"/>
        <w:spacing w:before="0" w:after="60" w:line="324" w:lineRule="auto"/>
        <w:ind w:left="420" w:firstLine="0"/>
      </w:pPr>
      <w:r>
        <w:rPr>
          <w:rFonts w:ascii="Times New Roman" w:hAnsi="Times New Roman" w:eastAsia="宋体"/>
          <w:b/>
          <w:i w:val="0"/>
          <w:sz w:val="24"/>
        </w:rPr>
        <w:t>ADBF</w:t>
      </w:r>
      <w:r>
        <w:rPr>
          <w:rFonts w:ascii="Times New Roman" w:hAnsi="Times New Roman" w:eastAsia="宋体"/>
          <w:b w:val="0"/>
          <w:i w:val="0"/>
          <w:sz w:val="24"/>
        </w:rPr>
        <w:t>：自适应数字波束形成；</w:t>
      </w:r>
    </w:p>
    <w:p>
      <w:pPr>
        <w:pStyle w:val="ListBullet"/>
        <w:spacing w:before="0" w:after="60" w:line="324" w:lineRule="auto"/>
        <w:ind w:left="420" w:firstLine="0"/>
      </w:pPr>
      <w:r>
        <w:rPr>
          <w:rFonts w:ascii="Times New Roman" w:hAnsi="Times New Roman" w:eastAsia="宋体"/>
          <w:b/>
          <w:i w:val="0"/>
          <w:sz w:val="24"/>
        </w:rPr>
        <w:t>DPC</w:t>
      </w:r>
      <w:r>
        <w:rPr>
          <w:rFonts w:ascii="Times New Roman" w:hAnsi="Times New Roman" w:eastAsia="宋体"/>
          <w:b w:val="0"/>
          <w:i w:val="0"/>
          <w:sz w:val="24"/>
        </w:rPr>
        <w:t>：数字脉冲压缩；</w:t>
      </w:r>
    </w:p>
    <w:p>
      <w:pPr>
        <w:pStyle w:val="ListBullet"/>
        <w:spacing w:before="0" w:after="60" w:line="324" w:lineRule="auto"/>
        <w:ind w:left="420" w:firstLine="0"/>
      </w:pPr>
      <w:r>
        <w:rPr>
          <w:rFonts w:ascii="Times New Roman" w:hAnsi="Times New Roman" w:eastAsia="宋体"/>
          <w:b/>
          <w:i w:val="0"/>
          <w:sz w:val="24"/>
        </w:rPr>
        <w:t>MTI</w:t>
      </w:r>
      <w:r>
        <w:rPr>
          <w:rFonts w:ascii="Times New Roman" w:hAnsi="Times New Roman" w:eastAsia="宋体"/>
          <w:b w:val="0"/>
          <w:i w:val="0"/>
          <w:sz w:val="24"/>
        </w:rPr>
        <w:t>：动目标指示；</w:t>
      </w:r>
    </w:p>
    <w:p>
      <w:pPr>
        <w:pStyle w:val="ListBullet"/>
        <w:spacing w:before="0" w:after="60" w:line="324" w:lineRule="auto"/>
        <w:ind w:left="420" w:firstLine="0"/>
      </w:pPr>
      <w:r>
        <w:rPr>
          <w:rFonts w:ascii="Times New Roman" w:hAnsi="Times New Roman" w:eastAsia="宋体"/>
          <w:b/>
          <w:i w:val="0"/>
          <w:sz w:val="24"/>
        </w:rPr>
        <w:t>MTD</w:t>
      </w:r>
      <w:r>
        <w:rPr>
          <w:rFonts w:ascii="Times New Roman" w:hAnsi="Times New Roman" w:eastAsia="宋体"/>
          <w:b w:val="0"/>
          <w:i w:val="0"/>
          <w:sz w:val="24"/>
        </w:rPr>
        <w:t>：动目标检测；</w:t>
      </w:r>
    </w:p>
    <w:p>
      <w:pPr>
        <w:pStyle w:val="ListBullet"/>
        <w:spacing w:before="0" w:after="60" w:line="324" w:lineRule="auto"/>
        <w:ind w:left="420" w:firstLine="0"/>
      </w:pPr>
      <w:r>
        <w:rPr>
          <w:rFonts w:ascii="Times New Roman" w:hAnsi="Times New Roman" w:eastAsia="宋体"/>
          <w:b/>
          <w:i w:val="0"/>
          <w:sz w:val="24"/>
        </w:rPr>
        <w:t>CFAR</w:t>
      </w:r>
      <w:r>
        <w:rPr>
          <w:rFonts w:ascii="Times New Roman" w:hAnsi="Times New Roman" w:eastAsia="宋体"/>
          <w:b w:val="0"/>
          <w:i w:val="0"/>
          <w:sz w:val="24"/>
        </w:rPr>
        <w:t>：恒虚警检测；</w:t>
      </w:r>
    </w:p>
    <w:p>
      <w:pPr>
        <w:pStyle w:val="ListBullet"/>
        <w:spacing w:before="0" w:after="60" w:line="324" w:lineRule="auto"/>
        <w:ind w:left="420" w:firstLine="0"/>
      </w:pPr>
      <w:r>
        <w:rPr>
          <w:rFonts w:ascii="Times New Roman" w:hAnsi="Times New Roman" w:eastAsia="宋体"/>
          <w:b/>
          <w:i w:val="0"/>
          <w:sz w:val="24"/>
        </w:rPr>
        <w:t>GlobalEpoch</w:t>
      </w:r>
      <w:r>
        <w:rPr>
          <w:rFonts w:ascii="Times New Roman" w:hAnsi="Times New Roman" w:eastAsia="宋体"/>
          <w:b w:val="0"/>
          <w:i w:val="0"/>
          <w:sz w:val="24"/>
        </w:rPr>
        <w:t>：全局周期号；</w:t>
      </w:r>
    </w:p>
    <w:p>
      <w:pPr>
        <w:pStyle w:val="ListBullet"/>
        <w:spacing w:before="0" w:after="60" w:line="324" w:lineRule="auto"/>
        <w:ind w:left="420" w:firstLine="0"/>
      </w:pPr>
      <w:r>
        <w:rPr>
          <w:rFonts w:ascii="Times New Roman" w:hAnsi="Times New Roman" w:eastAsia="宋体"/>
          <w:b/>
          <w:i w:val="0"/>
          <w:sz w:val="24"/>
        </w:rPr>
        <w:t>参数快照</w:t>
      </w:r>
      <w:r>
        <w:rPr>
          <w:rFonts w:ascii="Times New Roman" w:hAnsi="Times New Roman" w:eastAsia="宋体"/>
          <w:b w:val="0"/>
          <w:i w:val="0"/>
          <w:sz w:val="24"/>
        </w:rPr>
        <w:t>：与当前 CPI 数据单元绑定的运行参数和状态信息集合；</w:t>
      </w:r>
    </w:p>
    <w:p>
      <w:pPr>
        <w:pStyle w:val="ListBullet"/>
        <w:spacing w:before="0" w:after="60" w:line="324" w:lineRule="auto"/>
        <w:ind w:left="420" w:firstLine="0"/>
      </w:pPr>
      <w:r>
        <w:rPr>
          <w:rFonts w:ascii="Times New Roman" w:hAnsi="Times New Roman" w:eastAsia="宋体"/>
          <w:b/>
          <w:i w:val="0"/>
          <w:sz w:val="24"/>
        </w:rPr>
        <w:t>接收确认（RxAck）</w:t>
      </w:r>
      <w:r>
        <w:rPr>
          <w:rFonts w:ascii="Times New Roman" w:hAnsi="Times New Roman" w:eastAsia="宋体"/>
          <w:b w:val="0"/>
          <w:i w:val="0"/>
          <w:sz w:val="24"/>
        </w:rPr>
        <w:t>：前端对执行表接收完成后返回的确认信息；</w:t>
      </w:r>
    </w:p>
    <w:p>
      <w:pPr>
        <w:pStyle w:val="ListBullet"/>
        <w:spacing w:before="0" w:after="60" w:line="324" w:lineRule="auto"/>
        <w:ind w:left="420" w:firstLine="0"/>
      </w:pPr>
      <w:r>
        <w:rPr>
          <w:rFonts w:ascii="Times New Roman" w:hAnsi="Times New Roman" w:eastAsia="宋体"/>
          <w:b/>
          <w:i w:val="0"/>
          <w:sz w:val="24"/>
        </w:rPr>
        <w:t>生效确认（ApplyAck）</w:t>
      </w:r>
      <w:r>
        <w:rPr>
          <w:rFonts w:ascii="Times New Roman" w:hAnsi="Times New Roman" w:eastAsia="宋体"/>
          <w:b w:val="0"/>
          <w:i w:val="0"/>
          <w:sz w:val="24"/>
        </w:rPr>
        <w:t>：前端对执行表生效完成后返回的确认信息；</w:t>
      </w:r>
    </w:p>
    <w:p>
      <w:pPr>
        <w:pStyle w:val="ListBullet"/>
        <w:spacing w:before="0" w:after="60" w:line="324" w:lineRule="auto"/>
        <w:ind w:left="420" w:firstLine="0"/>
      </w:pPr>
      <w:r>
        <w:rPr>
          <w:rFonts w:ascii="Times New Roman" w:hAnsi="Times New Roman" w:eastAsia="宋体"/>
          <w:b/>
          <w:i w:val="0"/>
          <w:sz w:val="24"/>
        </w:rPr>
        <w:t>软件秒边界事件</w:t>
      </w:r>
      <w:r>
        <w:rPr>
          <w:rFonts w:ascii="Times New Roman" w:hAnsi="Times New Roman" w:eastAsia="宋体"/>
          <w:b w:val="0"/>
          <w:i w:val="0"/>
          <w:sz w:val="24"/>
        </w:rPr>
        <w:t>：在服务器侧无本地硬件秒脉冲输入条件下，由前端边界通知经控制面处理后形成、用于表征系统逻辑秒边界的内部事件对象。</w:t>
      </w:r>
    </w:p>
    <w:p>
      <w:pPr>
        <w:spacing w:before="60" w:after="60" w:line="240" w:lineRule="auto"/>
        <w:ind w:firstLine="0"/>
        <w:pBdr>
          <w:bottom w:val="single" w:sz="6" w:space="1" w:color="auto"/>
        </w:pBdr>
      </w:pP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信号处理软件研制任务书</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