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A7" w:rsidRPr="00FF1F03" w:rsidRDefault="004243A7" w:rsidP="004243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6132111"/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4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:rsidR="004243A7" w:rsidRPr="00FF1F03" w:rsidRDefault="004243A7" w:rsidP="004243A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:rsidR="004243A7" w:rsidRPr="00FA7F12" w:rsidRDefault="004243A7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:rsidR="004243A7" w:rsidRPr="00FA7F12" w:rsidRDefault="0095422B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Lección N° 6</w:t>
      </w:r>
      <w:r w:rsidR="004243A7" w:rsidRPr="00FA7F12">
        <w:rPr>
          <w:rFonts w:ascii="Times New Roman" w:hAnsi="Times New Roman" w:cs="Times New Roman"/>
          <w:b/>
          <w:sz w:val="24"/>
          <w:szCs w:val="24"/>
        </w:rPr>
        <w:t>: Concepto de Mol</w:t>
      </w:r>
    </w:p>
    <w:p w:rsidR="004243A7" w:rsidRPr="004243A7" w:rsidRDefault="0095422B" w:rsidP="004243A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(Septiembre 21 – 26</w:t>
      </w:r>
      <w:r w:rsidR="004243A7" w:rsidRPr="00FA7F12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4243A7" w:rsidRDefault="004243A7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BE7380" w:rsidRDefault="007B6750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TALLER N° 2</w:t>
      </w:r>
      <w:r w:rsidR="00424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</w:p>
    <w:p w:rsidR="004243A7" w:rsidRPr="004243A7" w:rsidRDefault="004243A7" w:rsidP="00424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>SIMULACIÓN DEL NÚMERO DE AVOGADRO</w:t>
      </w:r>
    </w:p>
    <w:p w:rsidR="007111FA" w:rsidRPr="004243A7" w:rsidRDefault="002A1078" w:rsidP="004243A7">
      <w:pPr>
        <w:pStyle w:val="Prrafodelista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 xml:space="preserve">Simulación Número de Avogadro </w:t>
      </w:r>
    </w:p>
    <w:p w:rsidR="002A1078" w:rsidRPr="00ED7FFC" w:rsidRDefault="002A1078" w:rsidP="002A1078">
      <w:pPr>
        <w:pStyle w:val="Prrafodelista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Fonts w:ascii="Times New Roman" w:hAnsi="Times New Roman" w:cs="Times New Roman"/>
          <w:sz w:val="24"/>
          <w:szCs w:val="24"/>
        </w:rPr>
        <w:t>E</w:t>
      </w:r>
      <w:r w:rsidR="00D35856">
        <w:rPr>
          <w:rFonts w:ascii="Times New Roman" w:hAnsi="Times New Roman" w:cs="Times New Roman"/>
          <w:sz w:val="24"/>
          <w:szCs w:val="24"/>
        </w:rPr>
        <w:t xml:space="preserve">n base a la masa </w:t>
      </w:r>
      <w:r w:rsidR="0099136E">
        <w:rPr>
          <w:rFonts w:ascii="Times New Roman" w:hAnsi="Times New Roman" w:cs="Times New Roman"/>
          <w:sz w:val="24"/>
          <w:szCs w:val="24"/>
        </w:rPr>
        <w:t xml:space="preserve">presentada </w:t>
      </w:r>
      <w:r w:rsidR="004243A7">
        <w:rPr>
          <w:rFonts w:ascii="Times New Roman" w:hAnsi="Times New Roman" w:cs="Times New Roman"/>
          <w:sz w:val="24"/>
          <w:szCs w:val="24"/>
        </w:rPr>
        <w:t xml:space="preserve"> para </w:t>
      </w:r>
      <w:r w:rsidR="00D35856">
        <w:rPr>
          <w:rFonts w:ascii="Times New Roman" w:hAnsi="Times New Roman" w:cs="Times New Roman"/>
          <w:sz w:val="24"/>
          <w:szCs w:val="24"/>
        </w:rPr>
        <w:t xml:space="preserve">15 </w:t>
      </w:r>
      <w:r w:rsidR="0099136E">
        <w:rPr>
          <w:rFonts w:ascii="Times New Roman" w:hAnsi="Times New Roman" w:cs="Times New Roman"/>
          <w:sz w:val="24"/>
          <w:szCs w:val="24"/>
        </w:rPr>
        <w:t xml:space="preserve"> unidades de cada objeto</w:t>
      </w:r>
      <w:r w:rsidR="00D35856">
        <w:rPr>
          <w:rFonts w:ascii="Times New Roman" w:hAnsi="Times New Roman" w:cs="Times New Roman"/>
          <w:sz w:val="24"/>
          <w:szCs w:val="24"/>
        </w:rPr>
        <w:t>, determine la</w:t>
      </w:r>
      <w:r w:rsidRPr="00ED7FFC">
        <w:rPr>
          <w:rFonts w:ascii="Times New Roman" w:hAnsi="Times New Roman" w:cs="Times New Roman"/>
          <w:sz w:val="24"/>
          <w:szCs w:val="24"/>
        </w:rPr>
        <w:t xml:space="preserve"> masa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>de una unidad. En la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 w:rsidRPr="00A631CF">
        <w:rPr>
          <w:rFonts w:ascii="Times New Roman" w:hAnsi="Times New Roman" w:cs="Times New Roman"/>
          <w:b/>
          <w:sz w:val="24"/>
          <w:szCs w:val="24"/>
        </w:rPr>
        <w:t>Tabla 1</w:t>
      </w:r>
      <w:r w:rsidR="00D358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 xml:space="preserve">se presentan </w:t>
      </w:r>
      <w:r w:rsidR="0099136E">
        <w:rPr>
          <w:rFonts w:ascii="Times New Roman" w:hAnsi="Times New Roman" w:cs="Times New Roman"/>
          <w:sz w:val="24"/>
          <w:szCs w:val="24"/>
        </w:rPr>
        <w:t>las masa de los diferentes objetos</w:t>
      </w:r>
      <w:r w:rsidRPr="00ED7F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Calcule la masa relativa de</w:t>
      </w:r>
      <w:r w:rsidRPr="00ED7FFC">
        <w:rPr>
          <w:rFonts w:ascii="Times New Roman" w:hAnsi="Times New Roman" w:cs="Times New Roman"/>
          <w:sz w:val="24"/>
          <w:szCs w:val="24"/>
        </w:rPr>
        <w:t xml:space="preserve"> los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objetos dividiendo entre la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menor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masa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obtenida para los diferentes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objeto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>s. Este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 objeto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será considerado como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patrón o de referencia. </w:t>
      </w:r>
    </w:p>
    <w:p w:rsidR="00F937FC" w:rsidRDefault="007111FA" w:rsidP="00F937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Determine el número de unidades en la masa rel</w:t>
      </w:r>
      <w:r w:rsidR="00F937FC">
        <w:rPr>
          <w:rStyle w:val="hps"/>
          <w:rFonts w:ascii="Times New Roman" w:hAnsi="Times New Roman" w:cs="Times New Roman"/>
          <w:sz w:val="24"/>
          <w:szCs w:val="24"/>
        </w:rPr>
        <w:t xml:space="preserve">ativa obtenida para cada objeto, utilizando los datos de la tabla 1, dividiendo la masa relativa entre la masa de una unidad. </w:t>
      </w:r>
      <w:r w:rsidR="002A1078" w:rsidRPr="00F937FC">
        <w:rPr>
          <w:rFonts w:ascii="Times New Roman" w:hAnsi="Times New Roman" w:cs="Times New Roman"/>
          <w:sz w:val="24"/>
          <w:szCs w:val="24"/>
        </w:rPr>
        <w:t>Anote todos</w:t>
      </w:r>
      <w:r w:rsidRPr="00F937FC">
        <w:rPr>
          <w:rFonts w:ascii="Times New Roman" w:hAnsi="Times New Roman" w:cs="Times New Roman"/>
          <w:sz w:val="24"/>
          <w:szCs w:val="24"/>
        </w:rPr>
        <w:t xml:space="preserve"> los resultados en la </w:t>
      </w:r>
      <w:r w:rsidRPr="00F937FC">
        <w:rPr>
          <w:rFonts w:ascii="Times New Roman" w:hAnsi="Times New Roman" w:cs="Times New Roman"/>
          <w:b/>
          <w:sz w:val="24"/>
          <w:szCs w:val="24"/>
        </w:rPr>
        <w:t>Tabla 1</w:t>
      </w:r>
      <w:r w:rsidR="00F937FC">
        <w:rPr>
          <w:rFonts w:ascii="Times New Roman" w:hAnsi="Times New Roman" w:cs="Times New Roman"/>
          <w:sz w:val="24"/>
          <w:szCs w:val="24"/>
        </w:rPr>
        <w:t>.</w:t>
      </w:r>
    </w:p>
    <w:p w:rsidR="00A631CF" w:rsidRDefault="00F937FC" w:rsidP="00E36E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ealizar el mismo procedimiento para la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F937FC">
        <w:rPr>
          <w:rFonts w:ascii="Times New Roman" w:hAnsi="Times New Roman" w:cs="Times New Roman"/>
          <w:b/>
          <w:sz w:val="24"/>
          <w:szCs w:val="24"/>
        </w:rPr>
        <w:t>abla</w:t>
      </w:r>
      <w:r w:rsidRPr="00F937F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6E0F" w:rsidRPr="00E36E0F" w:rsidRDefault="00E36E0F" w:rsidP="00E36E0F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078" w:rsidRPr="00A631CF" w:rsidRDefault="002A1078" w:rsidP="00E36E0F">
      <w:pPr>
        <w:autoSpaceDE w:val="0"/>
        <w:autoSpaceDN w:val="0"/>
        <w:adjustRightInd w:val="0"/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1CF"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A631CF">
        <w:rPr>
          <w:rFonts w:ascii="Times New Roman" w:hAnsi="Times New Roman" w:cs="Times New Roman"/>
          <w:b/>
          <w:sz w:val="24"/>
          <w:szCs w:val="24"/>
        </w:rPr>
        <w:t>abla</w:t>
      </w:r>
      <w:r w:rsidRPr="00A631CF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tbl>
      <w:tblPr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67"/>
        <w:gridCol w:w="1618"/>
        <w:gridCol w:w="1610"/>
        <w:gridCol w:w="1610"/>
        <w:gridCol w:w="1623"/>
      </w:tblGrid>
      <w:tr w:rsidR="005F6C4C" w:rsidRPr="00ED7FFC" w:rsidTr="005F6C4C">
        <w:trPr>
          <w:trHeight w:val="300"/>
          <w:jc w:val="center"/>
        </w:trPr>
        <w:tc>
          <w:tcPr>
            <w:tcW w:w="1567" w:type="dxa"/>
            <w:shd w:val="clear" w:color="auto" w:fill="auto"/>
            <w:noWrap/>
            <w:vAlign w:val="center"/>
            <w:hideMark/>
          </w:tcPr>
          <w:p w:rsidR="005F6C4C" w:rsidRPr="007111FA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Objeto</w:t>
            </w:r>
          </w:p>
        </w:tc>
        <w:tc>
          <w:tcPr>
            <w:tcW w:w="1618" w:type="dxa"/>
            <w:vAlign w:val="center"/>
          </w:tcPr>
          <w:p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Cantidad de unidades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(15)</w:t>
            </w:r>
          </w:p>
        </w:tc>
        <w:tc>
          <w:tcPr>
            <w:tcW w:w="1610" w:type="dxa"/>
            <w:vAlign w:val="center"/>
          </w:tcPr>
          <w:p w:rsidR="005F6C4C" w:rsidRPr="002F424B" w:rsidRDefault="005F6C4C" w:rsidP="00A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</w:t>
            </w:r>
            <w:r w:rsidR="00F9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bjeto</w:t>
            </w:r>
          </w:p>
        </w:tc>
        <w:tc>
          <w:tcPr>
            <w:tcW w:w="1610" w:type="dxa"/>
            <w:vAlign w:val="center"/>
          </w:tcPr>
          <w:p w:rsidR="005F6C4C" w:rsidRPr="00ED7FFC" w:rsidRDefault="005F6C4C" w:rsidP="00C6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Relativa </w:t>
            </w:r>
          </w:p>
        </w:tc>
        <w:tc>
          <w:tcPr>
            <w:tcW w:w="1623" w:type="dxa"/>
            <w:vAlign w:val="center"/>
          </w:tcPr>
          <w:p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Cantidad de Unidades en la MR</w:t>
            </w:r>
          </w:p>
        </w:tc>
      </w:tr>
      <w:tr w:rsidR="005F6C4C" w:rsidRPr="00ED7FFC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CLAVOS</w:t>
            </w:r>
          </w:p>
        </w:tc>
        <w:tc>
          <w:tcPr>
            <w:tcW w:w="1618" w:type="dxa"/>
            <w:vAlign w:val="bottom"/>
          </w:tcPr>
          <w:p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3.75</w:t>
            </w:r>
          </w:p>
        </w:tc>
        <w:tc>
          <w:tcPr>
            <w:tcW w:w="1610" w:type="dxa"/>
            <w:vAlign w:val="bottom"/>
          </w:tcPr>
          <w:p w:rsidR="005F6C4C" w:rsidRPr="002F424B" w:rsidRDefault="005F6C4C" w:rsidP="00A91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10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TACHUELAS</w:t>
            </w:r>
          </w:p>
        </w:tc>
        <w:tc>
          <w:tcPr>
            <w:tcW w:w="1618" w:type="dxa"/>
            <w:vAlign w:val="bottom"/>
          </w:tcPr>
          <w:p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0.15</w:t>
            </w:r>
          </w:p>
        </w:tc>
        <w:tc>
          <w:tcPr>
            <w:tcW w:w="1610" w:type="dxa"/>
            <w:vAlign w:val="bottom"/>
          </w:tcPr>
          <w:p w:rsidR="005F6C4C" w:rsidRPr="002F424B" w:rsidRDefault="005F6C4C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10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GRAPAS</w:t>
            </w:r>
          </w:p>
        </w:tc>
        <w:tc>
          <w:tcPr>
            <w:tcW w:w="1618" w:type="dxa"/>
            <w:vAlign w:val="bottom"/>
          </w:tcPr>
          <w:p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0.75</w:t>
            </w:r>
          </w:p>
        </w:tc>
        <w:tc>
          <w:tcPr>
            <w:tcW w:w="1610" w:type="dxa"/>
            <w:vAlign w:val="bottom"/>
          </w:tcPr>
          <w:p w:rsidR="005F6C4C" w:rsidRPr="002F424B" w:rsidRDefault="005F6C4C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10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TORNILLOS</w:t>
            </w:r>
          </w:p>
        </w:tc>
        <w:tc>
          <w:tcPr>
            <w:tcW w:w="1618" w:type="dxa"/>
            <w:vAlign w:val="bottom"/>
          </w:tcPr>
          <w:p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4.05</w:t>
            </w:r>
          </w:p>
        </w:tc>
        <w:tc>
          <w:tcPr>
            <w:tcW w:w="1610" w:type="dxa"/>
            <w:vAlign w:val="bottom"/>
          </w:tcPr>
          <w:p w:rsidR="005F6C4C" w:rsidRPr="002F424B" w:rsidRDefault="005F6C4C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10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ED7FFC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TUERCAS</w:t>
            </w:r>
          </w:p>
        </w:tc>
        <w:tc>
          <w:tcPr>
            <w:tcW w:w="1618" w:type="dxa"/>
            <w:vAlign w:val="bottom"/>
          </w:tcPr>
          <w:p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3.30</w:t>
            </w:r>
          </w:p>
        </w:tc>
        <w:tc>
          <w:tcPr>
            <w:tcW w:w="1610" w:type="dxa"/>
            <w:vAlign w:val="bottom"/>
          </w:tcPr>
          <w:p w:rsidR="005F6C4C" w:rsidRPr="002F424B" w:rsidRDefault="005F6C4C" w:rsidP="00AC07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10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623" w:type="dxa"/>
          </w:tcPr>
          <w:p w:rsidR="005F6C4C" w:rsidRPr="00ED7FFC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</w:p>
        </w:tc>
      </w:tr>
      <w:tr w:rsidR="005F6C4C" w:rsidRPr="002F424B" w:rsidTr="005F6C4C">
        <w:trPr>
          <w:trHeight w:val="300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nombre de partícula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pesada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la cantidad 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escogida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C4C" w:rsidRPr="002F424B" w:rsidRDefault="005F6C4C" w:rsidP="00AC07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estimada de una partícula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de las unidades entre la menor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# de partículas en la masa relativa</w:t>
            </w:r>
          </w:p>
        </w:tc>
      </w:tr>
    </w:tbl>
    <w:p w:rsidR="00F937FC" w:rsidRPr="00ED7FFC" w:rsidRDefault="00F937FC" w:rsidP="00E36E0F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1CF" w:rsidRDefault="00A631CF" w:rsidP="00B43950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Discusión:</w:t>
      </w:r>
    </w:p>
    <w:p w:rsidR="002F424B" w:rsidRPr="00A631CF" w:rsidRDefault="002F424B" w:rsidP="007111F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36E" w:rsidRDefault="0099136E" w:rsidP="00A631CF">
      <w:pPr>
        <w:autoSpaceDE w:val="0"/>
        <w:autoSpaceDN w:val="0"/>
        <w:adjustRightInd w:val="0"/>
        <w:jc w:val="both"/>
        <w:rPr>
          <w:sz w:val="24"/>
        </w:rPr>
      </w:pPr>
    </w:p>
    <w:p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  <w:r w:rsidRPr="00E36E0F">
        <w:rPr>
          <w:b/>
          <w:sz w:val="24"/>
        </w:rPr>
        <w:t>II Parte.  Utilice la masa atómica relativa para determinar el número de Avogadro de los siguientes elementos</w:t>
      </w:r>
      <w:r>
        <w:rPr>
          <w:sz w:val="24"/>
        </w:rPr>
        <w:t>:</w:t>
      </w:r>
    </w:p>
    <w:p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:rsidR="00A631CF" w:rsidRPr="00E36E0F" w:rsidRDefault="00A631CF" w:rsidP="00E36E0F">
      <w:pPr>
        <w:autoSpaceDE w:val="0"/>
        <w:autoSpaceDN w:val="0"/>
        <w:adjustRightInd w:val="0"/>
        <w:jc w:val="center"/>
        <w:rPr>
          <w:b/>
          <w:i/>
          <w:sz w:val="24"/>
        </w:rPr>
      </w:pPr>
      <w:r w:rsidRPr="00E36E0F">
        <w:rPr>
          <w:b/>
          <w:sz w:val="24"/>
        </w:rPr>
        <w:t>Tabla N°2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9"/>
        <w:gridCol w:w="1746"/>
        <w:gridCol w:w="1859"/>
        <w:gridCol w:w="1796"/>
        <w:gridCol w:w="1794"/>
      </w:tblGrid>
      <w:tr w:rsidR="00A631CF" w:rsidRPr="00D56A34" w:rsidTr="0076645B">
        <w:tc>
          <w:tcPr>
            <w:tcW w:w="2113" w:type="dxa"/>
            <w:shd w:val="clear" w:color="auto" w:fill="auto"/>
          </w:tcPr>
          <w:p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Átomo</w:t>
            </w:r>
          </w:p>
        </w:tc>
        <w:tc>
          <w:tcPr>
            <w:tcW w:w="2113" w:type="dxa"/>
            <w:shd w:val="clear" w:color="auto" w:fill="auto"/>
          </w:tcPr>
          <w:p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de un átomo (g)</w:t>
            </w:r>
          </w:p>
        </w:tc>
        <w:tc>
          <w:tcPr>
            <w:tcW w:w="2113" w:type="dxa"/>
            <w:shd w:val="clear" w:color="auto" w:fill="auto"/>
          </w:tcPr>
          <w:p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relativa con respecto al Hidrógeno</w:t>
            </w:r>
          </w:p>
        </w:tc>
        <w:tc>
          <w:tcPr>
            <w:tcW w:w="2113" w:type="dxa"/>
            <w:shd w:val="clear" w:color="auto" w:fill="auto"/>
          </w:tcPr>
          <w:p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Atómica</w:t>
            </w:r>
          </w:p>
        </w:tc>
        <w:tc>
          <w:tcPr>
            <w:tcW w:w="2114" w:type="dxa"/>
            <w:shd w:val="clear" w:color="auto" w:fill="auto"/>
          </w:tcPr>
          <w:p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Número de átomos en la masa relativa</w:t>
            </w: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Hidrógeno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1.66 x 10 </w:t>
            </w:r>
            <w:r w:rsidRPr="00D56A34">
              <w:rPr>
                <w:sz w:val="24"/>
                <w:vertAlign w:val="superscript"/>
              </w:rPr>
              <w:t>-24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Carbono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2.00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Hierro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9.30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Aluminio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4.49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Zinc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1.08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Plomo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3.44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  <w:tr w:rsidR="00A631CF" w:rsidRPr="00D56A34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Cobre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1.05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</w:p>
        </w:tc>
      </w:tr>
    </w:tbl>
    <w:p w:rsidR="00A631CF" w:rsidRPr="00D56A34" w:rsidRDefault="00A631CF" w:rsidP="00A631CF">
      <w:pPr>
        <w:autoSpaceDE w:val="0"/>
        <w:autoSpaceDN w:val="0"/>
        <w:adjustRightInd w:val="0"/>
        <w:jc w:val="both"/>
        <w:rPr>
          <w:i/>
          <w:sz w:val="24"/>
        </w:rPr>
      </w:pPr>
    </w:p>
    <w:p w:rsidR="002F424B" w:rsidRPr="00B43950" w:rsidRDefault="00B43950" w:rsidP="002F424B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Discusión: </w:t>
      </w:r>
    </w:p>
    <w:p w:rsidR="007111FA" w:rsidRPr="00ED7FFC" w:rsidRDefault="007111FA" w:rsidP="002F424B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sectPr w:rsidR="007111FA" w:rsidRPr="00ED7FFC" w:rsidSect="004243A7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A15E6"/>
    <w:multiLevelType w:val="hybridMultilevel"/>
    <w:tmpl w:val="EF6A61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017479"/>
    <w:multiLevelType w:val="hybridMultilevel"/>
    <w:tmpl w:val="0F1A9E38"/>
    <w:lvl w:ilvl="0" w:tplc="EE12E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76F64"/>
    <w:multiLevelType w:val="hybridMultilevel"/>
    <w:tmpl w:val="9EF48594"/>
    <w:lvl w:ilvl="0" w:tplc="67E0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1FA"/>
    <w:rsid w:val="000A11B1"/>
    <w:rsid w:val="002A1078"/>
    <w:rsid w:val="002F424B"/>
    <w:rsid w:val="00384360"/>
    <w:rsid w:val="00422765"/>
    <w:rsid w:val="004243A7"/>
    <w:rsid w:val="00494262"/>
    <w:rsid w:val="00546718"/>
    <w:rsid w:val="005F6C4C"/>
    <w:rsid w:val="006072CB"/>
    <w:rsid w:val="00673124"/>
    <w:rsid w:val="007111FA"/>
    <w:rsid w:val="007A3008"/>
    <w:rsid w:val="007B6750"/>
    <w:rsid w:val="008368F9"/>
    <w:rsid w:val="0095422B"/>
    <w:rsid w:val="0099136E"/>
    <w:rsid w:val="00A00C11"/>
    <w:rsid w:val="00A631CF"/>
    <w:rsid w:val="00A85984"/>
    <w:rsid w:val="00A91458"/>
    <w:rsid w:val="00B43950"/>
    <w:rsid w:val="00BD12CB"/>
    <w:rsid w:val="00BE7380"/>
    <w:rsid w:val="00C66A1C"/>
    <w:rsid w:val="00D1772E"/>
    <w:rsid w:val="00D35856"/>
    <w:rsid w:val="00DB328B"/>
    <w:rsid w:val="00E01E44"/>
    <w:rsid w:val="00E36E0F"/>
    <w:rsid w:val="00E7603C"/>
    <w:rsid w:val="00ED7FFC"/>
    <w:rsid w:val="00F93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1FA"/>
    <w:pPr>
      <w:ind w:left="720"/>
      <w:contextualSpacing/>
    </w:pPr>
    <w:rPr>
      <w:lang w:val="es-MX"/>
    </w:rPr>
  </w:style>
  <w:style w:type="character" w:customStyle="1" w:styleId="hps">
    <w:name w:val="hps"/>
    <w:rsid w:val="00711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A69C7-9097-4C37-8BCC-5DF34FDF8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E49AE-04E8-4CF4-9AD4-C97936431F03}"/>
</file>

<file path=customXml/itemProps3.xml><?xml version="1.0" encoding="utf-8"?>
<ds:datastoreItem xmlns:ds="http://schemas.openxmlformats.org/officeDocument/2006/customXml" ds:itemID="{63CA9220-47F0-471C-832F-F7F9BBAD56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Amanda Watson</cp:lastModifiedBy>
  <cp:revision>3</cp:revision>
  <dcterms:created xsi:type="dcterms:W3CDTF">2020-09-04T22:38:00Z</dcterms:created>
  <dcterms:modified xsi:type="dcterms:W3CDTF">2020-09-21T00:20:00Z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