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7218E631" w:rsidR="00C03F34" w:rsidRDefault="605DD5D8" w:rsidP="263055AA">
      <w:pPr>
        <w:jc w:val="center"/>
      </w:pPr>
      <w:r w:rsidRPr="263055AA">
        <w:rPr>
          <w:rFonts w:ascii="Arial" w:eastAsia="Arial" w:hAnsi="Arial" w:cs="Arial"/>
          <w:b/>
          <w:bCs/>
          <w:sz w:val="28"/>
          <w:szCs w:val="28"/>
        </w:rPr>
        <w:t>DE LA DEMOCRATIZACIÓN A LA GLOBALIZACIÓN: RETOS ACTUALES DEL ESTADO PANAMEÑO</w:t>
      </w:r>
    </w:p>
    <w:p w14:paraId="25556E29" w14:textId="53586AB5" w:rsidR="263055AA" w:rsidRDefault="263055AA" w:rsidP="263055AA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C9280B7" w14:textId="79C2F93E" w:rsidR="588D55F3" w:rsidRDefault="588D55F3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Durante la jornada de la invasión, </w:t>
      </w:r>
      <w:r w:rsidR="1C820AA9" w:rsidRPr="263055AA">
        <w:rPr>
          <w:rFonts w:ascii="Arial" w:eastAsia="Arial" w:hAnsi="Arial" w:cs="Arial"/>
          <w:sz w:val="24"/>
          <w:szCs w:val="24"/>
        </w:rPr>
        <w:t xml:space="preserve">Guillermo Endara y Guillermo Ford </w:t>
      </w:r>
      <w:r w:rsidR="583EB58F" w:rsidRPr="263055AA">
        <w:rPr>
          <w:rFonts w:ascii="Arial" w:eastAsia="Arial" w:hAnsi="Arial" w:cs="Arial"/>
          <w:sz w:val="24"/>
          <w:szCs w:val="24"/>
        </w:rPr>
        <w:t>prestaron juramento como presidente y vicepresidente constitucional de la República de Panamá. Esto ya se había hecho anteriormente a manera de sufragio, pero el entonces dictador Manuel Antonio Norieg</w:t>
      </w:r>
      <w:r w:rsidR="0F4108B8" w:rsidRPr="263055AA">
        <w:rPr>
          <w:rFonts w:ascii="Arial" w:eastAsia="Arial" w:hAnsi="Arial" w:cs="Arial"/>
          <w:sz w:val="24"/>
          <w:szCs w:val="24"/>
        </w:rPr>
        <w:t>a lo negaba y se rehusaba a ceder el poder.</w:t>
      </w:r>
      <w:sdt>
        <w:sdtPr>
          <w:rPr>
            <w:rFonts w:ascii="Arial" w:eastAsia="Arial" w:hAnsi="Arial" w:cs="Arial"/>
            <w:sz w:val="24"/>
            <w:szCs w:val="24"/>
          </w:rPr>
          <w:id w:val="-1724525199"/>
          <w:citation/>
        </w:sdtPr>
        <w:sdtEndPr/>
        <w:sdtContent>
          <w:r w:rsidR="001121FC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1121FC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Rob09 \l 6154 </w:instrText>
          </w:r>
          <w:r w:rsidR="001121FC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1121FC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1121FC" w:rsidRPr="001121FC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(Zárate, 2009)</w:t>
          </w:r>
          <w:r w:rsidR="001121FC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</w:p>
    <w:p w14:paraId="004075F6" w14:textId="724AF785" w:rsidR="04A1BC19" w:rsidRDefault="04A1BC19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Después de la invasión y el derrocamiento del General Manuel Antonio Noriega, el próximo mandatario tomaría las riendas de un país </w:t>
      </w:r>
      <w:r w:rsidR="3AC01B2E" w:rsidRPr="263055AA">
        <w:rPr>
          <w:rFonts w:ascii="Arial" w:eastAsia="Arial" w:hAnsi="Arial" w:cs="Arial"/>
          <w:sz w:val="24"/>
          <w:szCs w:val="24"/>
        </w:rPr>
        <w:t xml:space="preserve">enmarcado por secuelas oscuras de la invasión y de la dictadura. </w:t>
      </w:r>
      <w:r w:rsidR="43DFA86D" w:rsidRPr="263055AA">
        <w:rPr>
          <w:rFonts w:ascii="Arial" w:eastAsia="Arial" w:hAnsi="Arial" w:cs="Arial"/>
          <w:sz w:val="24"/>
          <w:szCs w:val="24"/>
        </w:rPr>
        <w:t xml:space="preserve">Con una economía desfasada y con pequeñas sensaciones de estabilidad donde </w:t>
      </w:r>
      <w:r w:rsidR="154A204D" w:rsidRPr="263055AA">
        <w:rPr>
          <w:rFonts w:ascii="Arial" w:eastAsia="Arial" w:hAnsi="Arial" w:cs="Arial"/>
          <w:sz w:val="24"/>
          <w:szCs w:val="24"/>
        </w:rPr>
        <w:t>la deuda externa representaba un 110% del PIB panameño. Además, hubo muchas pérdidas en lo humano y material en el país</w:t>
      </w:r>
      <w:r w:rsidR="642FFADE" w:rsidRPr="263055AA">
        <w:rPr>
          <w:rFonts w:ascii="Arial" w:eastAsia="Arial" w:hAnsi="Arial" w:cs="Arial"/>
          <w:sz w:val="24"/>
          <w:szCs w:val="24"/>
        </w:rPr>
        <w:t>, se estima unos 2.000 millones de dólares.</w:t>
      </w:r>
      <w:r w:rsidR="00760387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sz w:val="24"/>
            <w:szCs w:val="24"/>
          </w:rPr>
          <w:id w:val="-1731220632"/>
          <w:citation/>
        </w:sdtPr>
        <w:sdtEndPr/>
        <w:sdtContent>
          <w:r w:rsidR="00C01F1F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C01F1F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Rob09 \l 6154 </w:instrText>
          </w:r>
          <w:r w:rsidR="00C01F1F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C01F1F" w:rsidRPr="00C01F1F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(Zárate, 2009)</w:t>
          </w:r>
          <w:r w:rsidR="00C01F1F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</w:p>
    <w:p w14:paraId="5DB91047" w14:textId="267C8092" w:rsidR="5BAEA7C3" w:rsidRDefault="5BAEA7C3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Una de las primeras acciones fue desmilitarizar el Estado. Disolvió la Fuerza Pública Panameña a las divisiones de Policía Nacional, Servicio Marítimo Nacional, </w:t>
      </w:r>
      <w:r w:rsidR="45915858" w:rsidRPr="263055AA">
        <w:rPr>
          <w:rFonts w:ascii="Arial" w:eastAsia="Arial" w:hAnsi="Arial" w:cs="Arial"/>
          <w:sz w:val="24"/>
          <w:szCs w:val="24"/>
        </w:rPr>
        <w:t>Servicio Aéreo Nacional y el Servicio de Protección Institucional. Todo bajo la autoridad del Ejecutivo Nacional.</w:t>
      </w:r>
    </w:p>
    <w:p w14:paraId="2196C7F8" w14:textId="72D3BC4C" w:rsidR="6C991227" w:rsidRDefault="6C991227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Entre los tres años de 1990-1992 se llega a un aumento del PIB anual del 8% (promedio). Todo gracias a la reactivación económica que hubo en el país, regreso de capital extranjero y la activación de la Zona </w:t>
      </w:r>
      <w:r w:rsidR="4197705D" w:rsidRPr="263055AA">
        <w:rPr>
          <w:rFonts w:ascii="Arial" w:eastAsia="Arial" w:hAnsi="Arial" w:cs="Arial"/>
          <w:sz w:val="24"/>
          <w:szCs w:val="24"/>
        </w:rPr>
        <w:t>Libre de Colón. Además, fueron reprogramadas muchas deudas vencidas, por lo que dio un balón de oxígeno al país para recupera</w:t>
      </w:r>
      <w:r w:rsidR="333FA54A" w:rsidRPr="263055AA">
        <w:rPr>
          <w:rFonts w:ascii="Arial" w:eastAsia="Arial" w:hAnsi="Arial" w:cs="Arial"/>
          <w:sz w:val="24"/>
          <w:szCs w:val="24"/>
        </w:rPr>
        <w:t>r la confianza de inversión internacional.</w:t>
      </w:r>
    </w:p>
    <w:p w14:paraId="23A88F65" w14:textId="775A99E6" w:rsidR="3B4D8107" w:rsidRDefault="3B4D8107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Aunque en la administración de Endara no llegó a desplegar mucho potencial de lo que pudo haber hecho, cosa que ocasionó mucha desconfianza entre la población y entre los mismos funcionarios; </w:t>
      </w:r>
      <w:r w:rsidR="6819FD21" w:rsidRPr="263055AA">
        <w:rPr>
          <w:rFonts w:ascii="Arial" w:eastAsia="Arial" w:hAnsi="Arial" w:cs="Arial"/>
          <w:sz w:val="24"/>
          <w:szCs w:val="24"/>
        </w:rPr>
        <w:t>es mucho el reconocimiento que este gobierno tiene como forjador de las estructuras, estamentos, e instituciones democráticas en el país.</w:t>
      </w:r>
    </w:p>
    <w:p w14:paraId="746761D0" w14:textId="22BB595A" w:rsidR="605DD5D8" w:rsidRDefault="605DD5D8" w:rsidP="263055AA">
      <w:pPr>
        <w:jc w:val="both"/>
        <w:rPr>
          <w:rFonts w:ascii="Arial" w:eastAsia="Arial" w:hAnsi="Arial" w:cs="Arial"/>
          <w:b/>
          <w:bCs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1.91 Consecuencias de las privatizaciones en la electricidad y telecomunicaciones</w:t>
      </w:r>
    </w:p>
    <w:p w14:paraId="08BFAB2C" w14:textId="7155F7EC" w:rsidR="7C7AB9FC" w:rsidRDefault="7C7AB9FC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El 1 de septiembre de 1994 toma posesión Ernesto Pérez Balladares “El Toro”. Tenía propuestas neoliberales económicamente. Una de ellas era privatizar diversos servicios, a lo que </w:t>
      </w:r>
      <w:r w:rsidR="7E5EAB99" w:rsidRPr="263055AA">
        <w:rPr>
          <w:rFonts w:ascii="Arial" w:eastAsia="Arial" w:hAnsi="Arial" w:cs="Arial"/>
          <w:sz w:val="24"/>
          <w:szCs w:val="24"/>
        </w:rPr>
        <w:t>el Estado pasaría de ser productor a ser regulador.</w:t>
      </w:r>
    </w:p>
    <w:p w14:paraId="4EAE2D45" w14:textId="5B19157E" w:rsidR="7E5EAB99" w:rsidRDefault="7E5EAB99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Además, se acercaba la transición del mandato del Canal. Un tema importante donde tenían bases de generaban 300 millones de dólares y empleaban a </w:t>
      </w:r>
      <w:r w:rsidR="08761F93" w:rsidRPr="263055AA">
        <w:rPr>
          <w:rFonts w:ascii="Arial" w:eastAsia="Arial" w:hAnsi="Arial" w:cs="Arial"/>
          <w:sz w:val="24"/>
          <w:szCs w:val="24"/>
        </w:rPr>
        <w:t>5000 personas. Por lo tanto, los sindicatos y gremios de trabajadores estaban en contra de esta privatización impulsada y motivada por el Banco Mundial y el Fondo Monetario Internacional</w:t>
      </w:r>
      <w:sdt>
        <w:sdtPr>
          <w:rPr>
            <w:rFonts w:ascii="Arial" w:eastAsia="Arial" w:hAnsi="Arial" w:cs="Arial"/>
            <w:sz w:val="24"/>
            <w:szCs w:val="24"/>
          </w:rPr>
          <w:id w:val="-868603580"/>
          <w:citation/>
        </w:sdtPr>
        <w:sdtEndPr/>
        <w:sdtContent>
          <w:r w:rsidR="00612DC5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612DC5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CID01 \l 6154 </w:instrText>
          </w:r>
          <w:r w:rsidR="00612DC5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612DC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612DC5" w:rsidRPr="00612DC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(CIDOB, 2001)</w:t>
          </w:r>
          <w:r w:rsidR="00612DC5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08761F93" w:rsidRPr="263055AA">
        <w:rPr>
          <w:rFonts w:ascii="Arial" w:eastAsia="Arial" w:hAnsi="Arial" w:cs="Arial"/>
          <w:sz w:val="24"/>
          <w:szCs w:val="24"/>
        </w:rPr>
        <w:t>.</w:t>
      </w:r>
    </w:p>
    <w:p w14:paraId="0A50FAB6" w14:textId="7A8F6C4B" w:rsidR="72F2D738" w:rsidRDefault="72F2D738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Esta privatización también se infundió en el miedo poblacional, ya que querían una mejora de servicio y temían por el aumento del costo del mismo.</w:t>
      </w:r>
    </w:p>
    <w:p w14:paraId="5636300E" w14:textId="63F90A41" w:rsidR="263055AA" w:rsidRDefault="263055AA" w:rsidP="263055AA">
      <w:pPr>
        <w:jc w:val="both"/>
        <w:rPr>
          <w:rFonts w:ascii="Arial" w:eastAsia="Arial" w:hAnsi="Arial" w:cs="Arial"/>
          <w:sz w:val="24"/>
          <w:szCs w:val="24"/>
        </w:rPr>
      </w:pPr>
    </w:p>
    <w:p w14:paraId="140F32FE" w14:textId="660EF772" w:rsidR="68195A90" w:rsidRDefault="68195A90" w:rsidP="263055AA">
      <w:pPr>
        <w:jc w:val="both"/>
      </w:pPr>
      <w:r w:rsidRPr="263055AA">
        <w:rPr>
          <w:rFonts w:ascii="Arial" w:eastAsia="Arial" w:hAnsi="Arial" w:cs="Arial"/>
          <w:sz w:val="24"/>
          <w:szCs w:val="24"/>
        </w:rPr>
        <w:lastRenderedPageBreak/>
        <w:t xml:space="preserve">En la administración gubernamental de Guillermo Endara Galimany (1990-1994), se privatizaron empresas públicas de menor valor económico como hotel Taboga, hotel Washington, Air </w:t>
      </w:r>
      <w:proofErr w:type="spellStart"/>
      <w:r w:rsidRPr="263055AA">
        <w:rPr>
          <w:rFonts w:ascii="Arial" w:eastAsia="Arial" w:hAnsi="Arial" w:cs="Arial"/>
          <w:sz w:val="24"/>
          <w:szCs w:val="24"/>
        </w:rPr>
        <w:t>Panama</w:t>
      </w:r>
      <w:proofErr w:type="spellEnd"/>
      <w:r w:rsidRPr="263055AA">
        <w:rPr>
          <w:rFonts w:ascii="Arial" w:eastAsia="Arial" w:hAnsi="Arial" w:cs="Arial"/>
          <w:sz w:val="24"/>
          <w:szCs w:val="24"/>
        </w:rPr>
        <w:t>, Corporación Bananera del Atlántico, Cítricos de Chiriquí, Palma Aceitera Barú y Cemento Bayano</w:t>
      </w:r>
      <w:sdt>
        <w:sdtPr>
          <w:rPr>
            <w:rFonts w:ascii="Arial" w:eastAsia="Arial" w:hAnsi="Arial" w:cs="Arial"/>
            <w:sz w:val="24"/>
            <w:szCs w:val="24"/>
          </w:rPr>
          <w:id w:val="-500051058"/>
          <w:citation/>
        </w:sdtPr>
        <w:sdtEndPr/>
        <w:sdtContent>
          <w:r w:rsidR="00E01098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E01098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Tas15 \l 6154 </w:instrText>
          </w:r>
          <w:r w:rsidR="00E01098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E01098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E01098" w:rsidRPr="00E01098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(Tasón, 2015)</w:t>
          </w:r>
          <w:r w:rsidR="00E01098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.</w:t>
      </w:r>
    </w:p>
    <w:p w14:paraId="70426649" w14:textId="061DE942" w:rsidR="03D1E3EB" w:rsidRDefault="03D1E3EB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En el apartado de Telecomunicaciones, se vende el Instituto Nacional de Telecomunicaciones (INTEL) por un valor de 797,000 millones de dólares</w:t>
      </w:r>
      <w:sdt>
        <w:sdtPr>
          <w:rPr>
            <w:rFonts w:ascii="Arial" w:eastAsia="Arial" w:hAnsi="Arial" w:cs="Arial"/>
            <w:sz w:val="24"/>
            <w:szCs w:val="24"/>
          </w:rPr>
          <w:id w:val="1316527807"/>
          <w:citation/>
        </w:sdtPr>
        <w:sdtEndPr/>
        <w:sdtContent>
          <w:r w:rsidR="001A58D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1A58DA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Tas15 \l 6154 </w:instrText>
          </w:r>
          <w:r w:rsidR="001A58D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1A58DA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1A58DA" w:rsidRPr="001A58DA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(Tasón, 2015)</w:t>
          </w:r>
          <w:r w:rsidR="001A58DA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1B11B1A5" w:rsidRPr="263055AA">
        <w:rPr>
          <w:rFonts w:ascii="Arial" w:eastAsia="Arial" w:hAnsi="Arial" w:cs="Arial"/>
          <w:sz w:val="24"/>
          <w:szCs w:val="24"/>
        </w:rPr>
        <w:t xml:space="preserve">. </w:t>
      </w:r>
    </w:p>
    <w:p w14:paraId="005C8085" w14:textId="41718486" w:rsidR="1B11B1A5" w:rsidRDefault="1B11B1A5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Por su parte, la electricidad, un tema fundamental para el progreso y desarrollo del país, distribuida para ese tiempo por </w:t>
      </w:r>
      <w:r w:rsidR="0B7AA0F0" w:rsidRPr="263055AA">
        <w:rPr>
          <w:rFonts w:ascii="Arial" w:eastAsia="Arial" w:hAnsi="Arial" w:cs="Arial"/>
          <w:sz w:val="24"/>
          <w:szCs w:val="24"/>
        </w:rPr>
        <w:t>el Instituto de Recursos Hidráulicos y Electrificación; pasaba por un mal rato de desarrollo. No podían abastecer a toda la demanda que el país necesitaba en est</w:t>
      </w:r>
      <w:r w:rsidR="19B177A8" w:rsidRPr="263055AA">
        <w:rPr>
          <w:rFonts w:ascii="Arial" w:eastAsia="Arial" w:hAnsi="Arial" w:cs="Arial"/>
          <w:sz w:val="24"/>
          <w:szCs w:val="24"/>
        </w:rPr>
        <w:t>e desarrollo económico. En efecto, el Estado no contaba con la capacidad financiera necesaria para hacerle frente a las inversiones que requería el sector eléctrico. Los cálculos eran de 1,250 millones de dólares en el plazo de 10 años</w:t>
      </w:r>
      <w:sdt>
        <w:sdtPr>
          <w:rPr>
            <w:rFonts w:ascii="Arial" w:eastAsia="Arial" w:hAnsi="Arial" w:cs="Arial"/>
            <w:sz w:val="24"/>
            <w:szCs w:val="24"/>
          </w:rPr>
          <w:id w:val="707463031"/>
          <w:citation/>
        </w:sdtPr>
        <w:sdtEndPr/>
        <w:sdtContent>
          <w:r w:rsidR="007B5295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7B5295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Fer03 \l 6154 </w:instrText>
          </w:r>
          <w:r w:rsidR="007B5295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7B529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7B5295" w:rsidRPr="007B529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(Porras, 2003)</w:t>
          </w:r>
          <w:r w:rsidR="007B5295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19B177A8" w:rsidRPr="263055AA">
        <w:rPr>
          <w:rFonts w:ascii="Arial" w:eastAsia="Arial" w:hAnsi="Arial" w:cs="Arial"/>
          <w:sz w:val="24"/>
          <w:szCs w:val="24"/>
        </w:rPr>
        <w:t>. Además, en 20 años no se había logrado desarrollar una empresa eficiente, desligada operacionalmente de los vaivenes políticos.</w:t>
      </w:r>
    </w:p>
    <w:p w14:paraId="50CC9A0A" w14:textId="1740347F" w:rsidR="19B177A8" w:rsidRDefault="19B177A8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El IRHE fue vendida por un valor de 607 000 millones de dólares</w:t>
      </w:r>
      <w:sdt>
        <w:sdtPr>
          <w:rPr>
            <w:rFonts w:ascii="Arial" w:eastAsia="Arial" w:hAnsi="Arial" w:cs="Arial"/>
            <w:sz w:val="24"/>
            <w:szCs w:val="24"/>
          </w:rPr>
          <w:id w:val="1589493106"/>
          <w:citation/>
        </w:sdtPr>
        <w:sdtEndPr/>
        <w:sdtContent>
          <w:r w:rsidR="00645EC3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645EC3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Tas15 \l 6154 </w:instrText>
          </w:r>
          <w:r w:rsidR="00645EC3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645EC3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645EC3" w:rsidRPr="00645EC3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(Tasón, 2015)</w:t>
          </w:r>
          <w:r w:rsidR="00645EC3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. Actualmente se le conoce como la transnacional Cable &amp; Wireless.</w:t>
      </w:r>
      <w:r w:rsidR="40F686C5" w:rsidRPr="263055AA">
        <w:rPr>
          <w:rFonts w:ascii="Arial" w:eastAsia="Arial" w:hAnsi="Arial" w:cs="Arial"/>
          <w:sz w:val="24"/>
          <w:szCs w:val="24"/>
        </w:rPr>
        <w:t xml:space="preserve"> Después de la venta, se aumentaron las ofertas, hubo mejor distribución de energía y de desarrollo energético en el país. Las empresas de este sector lograron obtener beneficio, entrar en la competencia y </w:t>
      </w:r>
      <w:r w:rsidR="78BFCF4B" w:rsidRPr="263055AA">
        <w:rPr>
          <w:rFonts w:ascii="Arial" w:eastAsia="Arial" w:hAnsi="Arial" w:cs="Arial"/>
          <w:sz w:val="24"/>
          <w:szCs w:val="24"/>
        </w:rPr>
        <w:t>ofrecer mejores servicios a la población panameña</w:t>
      </w:r>
      <w:sdt>
        <w:sdtPr>
          <w:rPr>
            <w:rFonts w:ascii="Arial" w:eastAsia="Arial" w:hAnsi="Arial" w:cs="Arial"/>
            <w:sz w:val="24"/>
            <w:szCs w:val="24"/>
          </w:rPr>
          <w:id w:val="247160288"/>
          <w:citation/>
        </w:sdtPr>
        <w:sdtEndPr/>
        <w:sdtContent>
          <w:r w:rsidR="001877F5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1877F5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Fer03 \l 6154 </w:instrText>
          </w:r>
          <w:r w:rsidR="001877F5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1877F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1877F5" w:rsidRPr="001877F5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(Porras, 2003)</w:t>
          </w:r>
          <w:r w:rsidR="001877F5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78BFCF4B" w:rsidRPr="263055AA">
        <w:rPr>
          <w:rFonts w:ascii="Arial" w:eastAsia="Arial" w:hAnsi="Arial" w:cs="Arial"/>
          <w:sz w:val="24"/>
          <w:szCs w:val="24"/>
        </w:rPr>
        <w:t>.</w:t>
      </w:r>
    </w:p>
    <w:p w14:paraId="74F640F4" w14:textId="3286BF8B" w:rsidR="605DD5D8" w:rsidRDefault="605DD5D8" w:rsidP="263055AA">
      <w:pPr>
        <w:jc w:val="both"/>
        <w:rPr>
          <w:rFonts w:ascii="Arial" w:eastAsia="Arial" w:hAnsi="Arial" w:cs="Arial"/>
          <w:b/>
          <w:bCs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1.92 El turismo como estrategia de desarrollo económico: Plan Maestro de Turismo 2007 – 2020.</w:t>
      </w:r>
    </w:p>
    <w:p w14:paraId="14143BC5" w14:textId="5E0691A9" w:rsidR="199FEBD4" w:rsidRDefault="199FEBD4" w:rsidP="263055AA">
      <w:pPr>
        <w:jc w:val="both"/>
      </w:pPr>
      <w:r w:rsidRPr="263055AA">
        <w:rPr>
          <w:rFonts w:ascii="Arial" w:eastAsia="Arial" w:hAnsi="Arial" w:cs="Arial"/>
          <w:sz w:val="24"/>
          <w:szCs w:val="24"/>
        </w:rPr>
        <w:t>El Plan Maestro de Desarrollo Turístico Sostenible 2007-2020 es una planificación estratégica y ordenamiento territorial de Panamá, a largo plazo, para el sector turístico, que identifica en las zonas de desarrollo turístico de interés nacional y planificar los programas, proyectos y productos turísticos que las desarrollan.</w:t>
      </w:r>
    </w:p>
    <w:p w14:paraId="34E40DEA" w14:textId="44EACF26" w:rsidR="199FEBD4" w:rsidRDefault="199FEBD4" w:rsidP="263055AA">
      <w:pPr>
        <w:jc w:val="both"/>
      </w:pPr>
      <w:r w:rsidRPr="263055AA">
        <w:rPr>
          <w:rFonts w:ascii="Arial" w:eastAsia="Arial" w:hAnsi="Arial" w:cs="Arial"/>
          <w:sz w:val="24"/>
          <w:szCs w:val="24"/>
        </w:rPr>
        <w:t>Elaborado en el 2007, inició su implementación en el 2009 y debe extenderse hasta el 2020. El plan dibuja ocho regiones con 26 destinos turísticos y contempla la ejecución de 21 programas y 72 subprogramas. Fue dividido en tres grupos estratégicos: Programas de marketing; de gestión transversal y de desarrollo y construcción. Además, requiere de $741 millones para su implementación</w:t>
      </w:r>
      <w:sdt>
        <w:sdtPr>
          <w:rPr>
            <w:rFonts w:ascii="Arial" w:eastAsia="Arial" w:hAnsi="Arial" w:cs="Arial"/>
            <w:sz w:val="24"/>
            <w:szCs w:val="24"/>
          </w:rPr>
          <w:id w:val="1550110873"/>
          <w:citation/>
        </w:sdtPr>
        <w:sdtEndPr/>
        <w:sdtContent>
          <w:r w:rsidR="009B0017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9B0017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ATP08 \l 6154 </w:instrText>
          </w:r>
          <w:r w:rsidR="009B0017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9B0017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9B0017" w:rsidRPr="009B0017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(ATP, 2008)</w:t>
          </w:r>
          <w:r w:rsidR="009B0017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.</w:t>
      </w:r>
    </w:p>
    <w:p w14:paraId="59EF06C5" w14:textId="5FE2CA09" w:rsidR="199FEBD4" w:rsidRDefault="199FEBD4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Los objetivos presentados para este plan en el contexto del país son</w:t>
      </w:r>
      <w:sdt>
        <w:sdtPr>
          <w:rPr>
            <w:rFonts w:ascii="Arial" w:eastAsia="Arial" w:hAnsi="Arial" w:cs="Arial"/>
            <w:sz w:val="24"/>
            <w:szCs w:val="24"/>
          </w:rPr>
          <w:id w:val="-741871884"/>
          <w:citation/>
        </w:sdtPr>
        <w:sdtEndPr/>
        <w:sdtContent>
          <w:r w:rsidR="00334489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334489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ATP08 \l 6154 </w:instrText>
          </w:r>
          <w:r w:rsidR="00334489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334489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334489" w:rsidRPr="00334489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(ATP, 2008)</w:t>
          </w:r>
          <w:r w:rsidR="00334489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:</w:t>
      </w:r>
    </w:p>
    <w:p w14:paraId="7B8E5462" w14:textId="4CA48E7E" w:rsidR="199FEBD4" w:rsidRDefault="199FEBD4" w:rsidP="263055AA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Incrementar el valor agregado del gasto turístico – del 4,2% a 10% del valor agregado del PIB por turismo en 2020.</w:t>
      </w:r>
    </w:p>
    <w:p w14:paraId="46F1CF20" w14:textId="3DDE49B8" w:rsidR="199FEBD4" w:rsidRDefault="199FEBD4" w:rsidP="263055AA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Incrementar el factor de distribución de visitas a destinos dentro del país – de 1,25 a 1.46 en 2014 y 1,68 en 2020.</w:t>
      </w:r>
    </w:p>
    <w:p w14:paraId="6325E335" w14:textId="0193EF97" w:rsidR="199FEBD4" w:rsidRDefault="199FEBD4" w:rsidP="263055AA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Incrementar los empleos totales ocasionados por turismo en el país – de 99.459 a 211.952 empleos en 2014 y 382.557 en 2020.</w:t>
      </w:r>
    </w:p>
    <w:p w14:paraId="47A650D3" w14:textId="30481C5A" w:rsidR="199FEBD4" w:rsidRDefault="199FEBD4" w:rsidP="263055AA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Incorporar mecanismos para la reducción de la pobreza y beneficio social en la actividad turística a partir del primer año desde el inicio de la implementación.</w:t>
      </w:r>
    </w:p>
    <w:p w14:paraId="0D721DC4" w14:textId="6E779A4E" w:rsidR="199FEBD4" w:rsidRDefault="199FEBD4" w:rsidP="263055AA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lastRenderedPageBreak/>
        <w:t>Desarrollar la normativa y criterios de sostenibilidad ambiental de actividades turísticas en el plazo de 2 años desde el inicio de la implementación del Plan.</w:t>
      </w:r>
    </w:p>
    <w:p w14:paraId="2FDC0396" w14:textId="259CB20F" w:rsidR="755C7917" w:rsidRDefault="755C7917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El año 2020 ha sido todo un desafío para la industria turística. Que, por un virus, forzó </w:t>
      </w:r>
      <w:r w:rsidR="46011FFD" w:rsidRPr="263055AA">
        <w:rPr>
          <w:rFonts w:ascii="Arial" w:eastAsia="Arial" w:hAnsi="Arial" w:cs="Arial"/>
          <w:sz w:val="24"/>
          <w:szCs w:val="24"/>
        </w:rPr>
        <w:t xml:space="preserve">a muchos turistas a quedarse en la casa. </w:t>
      </w:r>
      <w:r w:rsidR="34DDD708" w:rsidRPr="263055AA">
        <w:rPr>
          <w:rFonts w:ascii="Arial" w:eastAsia="Arial" w:hAnsi="Arial" w:cs="Arial"/>
          <w:sz w:val="24"/>
          <w:szCs w:val="24"/>
        </w:rPr>
        <w:t>Levantó restricciones de vuelo</w:t>
      </w:r>
      <w:r w:rsidR="433AED01" w:rsidRPr="263055AA">
        <w:rPr>
          <w:rFonts w:ascii="Arial" w:eastAsia="Arial" w:hAnsi="Arial" w:cs="Arial"/>
          <w:sz w:val="24"/>
          <w:szCs w:val="24"/>
        </w:rPr>
        <w:t>, cosa que afecta mucho al sector turístico panameño. De hecho, el presidente ejecutivo de Copa Airlines apunta a que se tardará 3 años para que se recupere la industria de aviación</w:t>
      </w:r>
      <w:sdt>
        <w:sdtPr>
          <w:rPr>
            <w:rFonts w:ascii="Arial" w:eastAsia="Arial" w:hAnsi="Arial" w:cs="Arial"/>
            <w:sz w:val="24"/>
            <w:szCs w:val="24"/>
          </w:rPr>
          <w:id w:val="1349915391"/>
          <w:citation/>
        </w:sdtPr>
        <w:sdtEndPr/>
        <w:sdtContent>
          <w:r w:rsidR="00414FD7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414FD7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Ped20 \l 6154 </w:instrText>
          </w:r>
          <w:r w:rsidR="00414FD7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414FD7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414FD7" w:rsidRPr="00414FD7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(Heilbron, 2020)</w:t>
          </w:r>
          <w:r w:rsidR="00414FD7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6B75B029" w:rsidRPr="263055AA">
        <w:rPr>
          <w:rFonts w:ascii="Arial" w:eastAsia="Arial" w:hAnsi="Arial" w:cs="Arial"/>
          <w:sz w:val="24"/>
          <w:szCs w:val="24"/>
        </w:rPr>
        <w:t>. Industria fundamental en traer pasajeros y moneda extranjera al país para proveer solvencia.</w:t>
      </w:r>
    </w:p>
    <w:p w14:paraId="09EE4916" w14:textId="2E36B687" w:rsidR="605DD5D8" w:rsidRDefault="605DD5D8" w:rsidP="263055AA">
      <w:pPr>
        <w:jc w:val="both"/>
        <w:rPr>
          <w:rFonts w:ascii="Arial" w:eastAsia="Arial" w:hAnsi="Arial" w:cs="Arial"/>
          <w:b/>
          <w:bCs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1.93 Panamá y su participación en organismos y programas regionales. Plan Puebla Panamá, Plan Colombia, PARLACEN, PARLATINO … otros.</w:t>
      </w:r>
    </w:p>
    <w:p w14:paraId="5845D1A9" w14:textId="0014054C" w:rsidR="263055AA" w:rsidRDefault="263055AA" w:rsidP="263055AA">
      <w:pPr>
        <w:jc w:val="both"/>
        <w:rPr>
          <w:rFonts w:ascii="Arial" w:eastAsia="Arial" w:hAnsi="Arial" w:cs="Arial"/>
          <w:sz w:val="24"/>
          <w:szCs w:val="24"/>
        </w:rPr>
      </w:pPr>
    </w:p>
    <w:p w14:paraId="110579EB" w14:textId="58E05B05" w:rsidR="2681542D" w:rsidRDefault="2681542D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Plan Puebla Panamá</w:t>
      </w:r>
    </w:p>
    <w:p w14:paraId="2FB187E3" w14:textId="75CADC59" w:rsidR="12B5C4F4" w:rsidRDefault="12B5C4F4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El Plan Puebla Panamá (PPP) se define como un proyecto de desarrollo sustentable e integral, creado y propuesto por el presidente mexicano Vicente Fox. Está dirigido a los estados del sur –sureste de México, (Campeche, Chiapas, Guerrero, Oaxaca, Puebla, Quintana Roo, Tabasco, Veracruz y Yucatán) y a los países centroamericanos (Belice, Costa Rica, El Salvador, Guatemala, Honduras, Nicaragua y Panamá)</w:t>
      </w:r>
      <w:sdt>
        <w:sdtPr>
          <w:rPr>
            <w:rFonts w:ascii="Arial" w:eastAsia="Arial" w:hAnsi="Arial" w:cs="Arial"/>
            <w:sz w:val="24"/>
            <w:szCs w:val="24"/>
          </w:rPr>
          <w:id w:val="332420652"/>
          <w:citation/>
        </w:sdtPr>
        <w:sdtEndPr/>
        <w:sdtContent>
          <w:r w:rsidR="0017329D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17329D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Pla01 \l 6154 </w:instrText>
          </w:r>
          <w:r w:rsidR="0017329D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17329D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17329D" w:rsidRPr="0017329D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(Panamá, 2001)</w:t>
          </w:r>
          <w:r w:rsidR="0017329D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.</w:t>
      </w:r>
    </w:p>
    <w:p w14:paraId="1DD4A365" w14:textId="052D597E" w:rsidR="12B5C4F4" w:rsidRDefault="12B5C4F4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Propone relanzar la cooperación México-Centroamérica, consolidando el esquema de apertura comercial, gestionando recursos para obras de infraestructura de interés común, fortaleciendo y ampliando los mecanismos institucionales de concertación de políticas. Donde cada país dentro de este tramo se beneficie del mismo</w:t>
      </w:r>
      <w:sdt>
        <w:sdtPr>
          <w:rPr>
            <w:rFonts w:ascii="Arial" w:eastAsia="Arial" w:hAnsi="Arial" w:cs="Arial"/>
            <w:sz w:val="24"/>
            <w:szCs w:val="24"/>
          </w:rPr>
          <w:id w:val="2107387668"/>
          <w:citation/>
        </w:sdtPr>
        <w:sdtEndPr/>
        <w:sdtContent>
          <w:r w:rsidR="004C2ECF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4C2ECF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ReD05 \l 6154 </w:instrText>
          </w:r>
          <w:r w:rsidR="004C2ECF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4C2ECF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4C2ECF" w:rsidRPr="004C2ECF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(ReDDi, 2005)</w:t>
          </w:r>
          <w:r w:rsidR="004C2ECF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263055AA">
        <w:rPr>
          <w:rFonts w:ascii="Arial" w:eastAsia="Arial" w:hAnsi="Arial" w:cs="Arial"/>
          <w:sz w:val="24"/>
          <w:szCs w:val="24"/>
        </w:rPr>
        <w:t>.</w:t>
      </w:r>
    </w:p>
    <w:p w14:paraId="7875594C" w14:textId="7EEF2FDA" w:rsidR="12B5C4F4" w:rsidRDefault="12B5C4F4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Plan Colombia</w:t>
      </w:r>
    </w:p>
    <w:p w14:paraId="7A5B833C" w14:textId="078D737B" w:rsidR="12B5C4F4" w:rsidRDefault="12B5C4F4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Es un plan entre Colombia y los Estados Unidos para reducir el tráfico, y cultivo de coca de manera i</w:t>
      </w:r>
      <w:r w:rsidR="3B8BF616" w:rsidRPr="263055AA">
        <w:rPr>
          <w:rFonts w:ascii="Arial" w:eastAsia="Arial" w:hAnsi="Arial" w:cs="Arial"/>
          <w:sz w:val="24"/>
          <w:szCs w:val="24"/>
        </w:rPr>
        <w:t xml:space="preserve">legal. </w:t>
      </w:r>
      <w:r w:rsidR="7C894AB4" w:rsidRPr="263055AA">
        <w:rPr>
          <w:rFonts w:ascii="Arial" w:eastAsia="Arial" w:hAnsi="Arial" w:cs="Arial"/>
          <w:sz w:val="24"/>
          <w:szCs w:val="24"/>
        </w:rPr>
        <w:t xml:space="preserve">Panamá es punto clave en este plan debido a que forma parte íntegra de una ruta para el tráfico del mismo. El Tapón del Darién, zona en el cual conecta </w:t>
      </w:r>
      <w:r w:rsidR="60795528" w:rsidRPr="263055AA">
        <w:rPr>
          <w:rFonts w:ascii="Arial" w:eastAsia="Arial" w:hAnsi="Arial" w:cs="Arial"/>
          <w:sz w:val="24"/>
          <w:szCs w:val="24"/>
        </w:rPr>
        <w:t>en la</w:t>
      </w:r>
      <w:r w:rsidR="7C894AB4" w:rsidRPr="263055AA">
        <w:rPr>
          <w:rFonts w:ascii="Arial" w:eastAsia="Arial" w:hAnsi="Arial" w:cs="Arial"/>
          <w:sz w:val="24"/>
          <w:szCs w:val="24"/>
        </w:rPr>
        <w:t xml:space="preserve"> región norte con la región sur de América</w:t>
      </w:r>
      <w:r w:rsidR="3EE7F09C" w:rsidRPr="263055AA">
        <w:rPr>
          <w:rFonts w:ascii="Arial" w:eastAsia="Arial" w:hAnsi="Arial" w:cs="Arial"/>
          <w:sz w:val="24"/>
          <w:szCs w:val="24"/>
        </w:rPr>
        <w:t>, es un punto foco donde se hace tránsito y tráfico de estas sustancias</w:t>
      </w:r>
      <w:sdt>
        <w:sdtPr>
          <w:rPr>
            <w:rFonts w:ascii="Arial" w:eastAsia="Arial" w:hAnsi="Arial" w:cs="Arial"/>
            <w:sz w:val="24"/>
            <w:szCs w:val="24"/>
          </w:rPr>
          <w:id w:val="-1844083966"/>
          <w:citation/>
        </w:sdtPr>
        <w:sdtEndPr/>
        <w:sdtContent>
          <w:r w:rsidR="00E015DB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E015DB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Pan00 \l 6154 </w:instrText>
          </w:r>
          <w:r w:rsidR="00E015DB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E015DB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E015DB" w:rsidRPr="00E015DB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(Panamá América, 2000)</w:t>
          </w:r>
          <w:r w:rsidR="00E015DB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3EE7F09C" w:rsidRPr="263055AA">
        <w:rPr>
          <w:rFonts w:ascii="Arial" w:eastAsia="Arial" w:hAnsi="Arial" w:cs="Arial"/>
          <w:sz w:val="24"/>
          <w:szCs w:val="24"/>
        </w:rPr>
        <w:t>.</w:t>
      </w:r>
    </w:p>
    <w:p w14:paraId="284376C9" w14:textId="7BED9DE7" w:rsidR="25647411" w:rsidRDefault="25647411" w:rsidP="263055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63055AA">
        <w:rPr>
          <w:rFonts w:ascii="Arial" w:eastAsia="Arial" w:hAnsi="Arial" w:cs="Arial"/>
          <w:b/>
          <w:bCs/>
          <w:sz w:val="24"/>
          <w:szCs w:val="24"/>
        </w:rPr>
        <w:t>PARLACEN</w:t>
      </w:r>
    </w:p>
    <w:p w14:paraId="5B3D28F2" w14:textId="1237F90F" w:rsidR="09C52441" w:rsidRDefault="09C52441" w:rsidP="263055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Es un órgano de representación d</w:t>
      </w:r>
      <w:r w:rsidR="37CA94C8" w:rsidRPr="263055AA">
        <w:rPr>
          <w:rFonts w:ascii="Arial" w:eastAsia="Arial" w:hAnsi="Arial" w:cs="Arial"/>
          <w:sz w:val="24"/>
          <w:szCs w:val="24"/>
        </w:rPr>
        <w:t>emocrática y política entre los países centroamericanos que lo conforman. Dentro del mismo ejercen funciones parlamentarias del Sistema Comunitario para la Integración Regional.</w:t>
      </w:r>
    </w:p>
    <w:p w14:paraId="26362AB8" w14:textId="27B7FCFE" w:rsidR="25647411" w:rsidRDefault="25647411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Una de las organizaciones más discutidas en la región debido a </w:t>
      </w:r>
      <w:r w:rsidR="4B1D5336" w:rsidRPr="263055AA">
        <w:rPr>
          <w:rFonts w:ascii="Arial" w:eastAsia="Arial" w:hAnsi="Arial" w:cs="Arial"/>
          <w:sz w:val="24"/>
          <w:szCs w:val="24"/>
        </w:rPr>
        <w:t>la falta de transparencia, altos gastos innecesarios y por la protección que ofrece a personalidades políticas que lo integran. Muchos lo califican como una organi</w:t>
      </w:r>
      <w:r w:rsidR="1A147642" w:rsidRPr="263055AA">
        <w:rPr>
          <w:rFonts w:ascii="Arial" w:eastAsia="Arial" w:hAnsi="Arial" w:cs="Arial"/>
          <w:sz w:val="24"/>
          <w:szCs w:val="24"/>
        </w:rPr>
        <w:t>zación onerosa, inoperante y un organismo de inmunidades.</w:t>
      </w:r>
      <w:sdt>
        <w:sdtPr>
          <w:rPr>
            <w:rFonts w:ascii="Arial" w:eastAsia="Arial" w:hAnsi="Arial" w:cs="Arial"/>
            <w:sz w:val="24"/>
            <w:szCs w:val="24"/>
          </w:rPr>
          <w:id w:val="-1774160226"/>
          <w:citation/>
        </w:sdtPr>
        <w:sdtEndPr/>
        <w:sdtContent>
          <w:r w:rsidR="0089662F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89662F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Rol20 \l 6154 </w:instrText>
          </w:r>
          <w:r w:rsidR="0089662F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89662F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89662F" w:rsidRPr="0089662F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(Rodríguez, 2020)</w:t>
          </w:r>
          <w:r w:rsidR="0089662F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1A147642" w:rsidRPr="263055AA">
        <w:rPr>
          <w:rFonts w:ascii="Arial" w:eastAsia="Arial" w:hAnsi="Arial" w:cs="Arial"/>
          <w:sz w:val="24"/>
          <w:szCs w:val="24"/>
        </w:rPr>
        <w:t xml:space="preserve"> </w:t>
      </w:r>
    </w:p>
    <w:p w14:paraId="20CCBF26" w14:textId="088C7D59" w:rsidR="6613BFDE" w:rsidRDefault="6613BFDE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 xml:space="preserve">La participación de Panamá en este organismo está llena de altas y bajas. De hecho, </w:t>
      </w:r>
      <w:r w:rsidR="1A147642" w:rsidRPr="263055AA">
        <w:rPr>
          <w:rFonts w:ascii="Arial" w:eastAsia="Arial" w:hAnsi="Arial" w:cs="Arial"/>
          <w:sz w:val="24"/>
          <w:szCs w:val="24"/>
        </w:rPr>
        <w:t>Panamá tuvo su salida del mismo en 2010. Aunque años después, en 2012, volvió a integrarse.</w:t>
      </w:r>
      <w:r w:rsidR="06A1D27B" w:rsidRPr="263055AA">
        <w:rPr>
          <w:rFonts w:ascii="Arial" w:eastAsia="Arial" w:hAnsi="Arial" w:cs="Arial"/>
          <w:sz w:val="24"/>
          <w:szCs w:val="24"/>
        </w:rPr>
        <w:t xml:space="preserve"> </w:t>
      </w:r>
      <w:r w:rsidR="0DE70933" w:rsidRPr="263055AA">
        <w:rPr>
          <w:rFonts w:ascii="Arial" w:eastAsia="Arial" w:hAnsi="Arial" w:cs="Arial"/>
          <w:sz w:val="24"/>
          <w:szCs w:val="24"/>
        </w:rPr>
        <w:t xml:space="preserve">Panamá está envuelta de polémicas debido a que muchos </w:t>
      </w:r>
      <w:proofErr w:type="spellStart"/>
      <w:r w:rsidR="0DE70933" w:rsidRPr="263055AA">
        <w:rPr>
          <w:rFonts w:ascii="Arial" w:eastAsia="Arial" w:hAnsi="Arial" w:cs="Arial"/>
          <w:sz w:val="24"/>
          <w:szCs w:val="24"/>
        </w:rPr>
        <w:t>ex-mandatarios</w:t>
      </w:r>
      <w:proofErr w:type="spellEnd"/>
      <w:r w:rsidR="0DE70933" w:rsidRPr="263055AA">
        <w:rPr>
          <w:rFonts w:ascii="Arial" w:eastAsia="Arial" w:hAnsi="Arial" w:cs="Arial"/>
          <w:sz w:val="24"/>
          <w:szCs w:val="24"/>
        </w:rPr>
        <w:t xml:space="preserve"> </w:t>
      </w:r>
      <w:r w:rsidR="0DE70933" w:rsidRPr="263055AA">
        <w:rPr>
          <w:rFonts w:ascii="Arial" w:eastAsia="Arial" w:hAnsi="Arial" w:cs="Arial"/>
          <w:sz w:val="24"/>
          <w:szCs w:val="24"/>
        </w:rPr>
        <w:lastRenderedPageBreak/>
        <w:t>lo usan como un organismo de inmunidad, lo que los protege ante acusaciones de corrupción y de malversación de fondos.</w:t>
      </w:r>
    </w:p>
    <w:p w14:paraId="2C68EBDF" w14:textId="78623BA8" w:rsidR="06A1D27B" w:rsidRDefault="06A1D27B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263055AA">
        <w:rPr>
          <w:rFonts w:ascii="Arial" w:eastAsia="Arial" w:hAnsi="Arial" w:cs="Arial"/>
          <w:sz w:val="24"/>
          <w:szCs w:val="24"/>
        </w:rPr>
        <w:t>La historia de este organismo comienza en 1983 donde el gobierno panameño propone junto a otros cancilleres de la región, buscar una solución al conflicto centroamericano</w:t>
      </w:r>
      <w:sdt>
        <w:sdtPr>
          <w:rPr>
            <w:rFonts w:ascii="Arial" w:eastAsia="Arial" w:hAnsi="Arial" w:cs="Arial"/>
            <w:sz w:val="24"/>
            <w:szCs w:val="24"/>
          </w:rPr>
          <w:id w:val="-577668479"/>
          <w:citation/>
        </w:sdtPr>
        <w:sdtEndPr/>
        <w:sdtContent>
          <w:r w:rsidR="00702B72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702B72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PAR14 \l 6154 </w:instrText>
          </w:r>
          <w:r w:rsidR="00702B72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702B72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 xml:space="preserve"> </w:t>
          </w:r>
          <w:r w:rsidR="00702B72" w:rsidRPr="00702B72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(PARLACEN, 2014)</w:t>
          </w:r>
          <w:r w:rsidR="00702B72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="00702B72">
        <w:rPr>
          <w:rFonts w:ascii="Arial" w:eastAsia="Arial" w:hAnsi="Arial" w:cs="Arial"/>
          <w:sz w:val="24"/>
          <w:szCs w:val="24"/>
        </w:rPr>
        <w:t>.</w:t>
      </w:r>
    </w:p>
    <w:p w14:paraId="09A477B1" w14:textId="1CA855D5" w:rsidR="0067458F" w:rsidRDefault="0067458F" w:rsidP="263055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PARLATINO</w:t>
      </w:r>
    </w:p>
    <w:p w14:paraId="589E6A69" w14:textId="19071F4C" w:rsidR="0067458F" w:rsidRDefault="00F56E2F" w:rsidP="263055AA">
      <w:pPr>
        <w:jc w:val="both"/>
        <w:rPr>
          <w:rFonts w:ascii="Arial" w:eastAsia="Arial" w:hAnsi="Arial" w:cs="Arial"/>
          <w:sz w:val="24"/>
          <w:szCs w:val="24"/>
        </w:rPr>
      </w:pPr>
      <w:r w:rsidRPr="00F56E2F">
        <w:rPr>
          <w:rFonts w:ascii="Arial" w:eastAsia="Arial" w:hAnsi="Arial" w:cs="Arial"/>
          <w:sz w:val="24"/>
          <w:szCs w:val="24"/>
        </w:rPr>
        <w:t xml:space="preserve">El Parlamento Latinoamericano y Caribeño, o </w:t>
      </w:r>
      <w:proofErr w:type="spellStart"/>
      <w:r w:rsidRPr="00F56E2F">
        <w:rPr>
          <w:rFonts w:ascii="Arial" w:eastAsia="Arial" w:hAnsi="Arial" w:cs="Arial"/>
          <w:sz w:val="24"/>
          <w:szCs w:val="24"/>
        </w:rPr>
        <w:t>Parlatino</w:t>
      </w:r>
      <w:proofErr w:type="spellEnd"/>
      <w:r w:rsidRPr="00F56E2F">
        <w:rPr>
          <w:rFonts w:ascii="Arial" w:eastAsia="Arial" w:hAnsi="Arial" w:cs="Arial"/>
          <w:sz w:val="24"/>
          <w:szCs w:val="24"/>
        </w:rPr>
        <w:t xml:space="preserve">, es </w:t>
      </w:r>
      <w:r w:rsidR="00A020B0" w:rsidRPr="00F56E2F">
        <w:rPr>
          <w:rFonts w:ascii="Arial" w:eastAsia="Arial" w:hAnsi="Arial" w:cs="Arial"/>
          <w:sz w:val="24"/>
          <w:szCs w:val="24"/>
        </w:rPr>
        <w:t>un organismo regional, permanente y unicameral, integrado por</w:t>
      </w:r>
      <w:r w:rsidRPr="00F56E2F">
        <w:rPr>
          <w:rFonts w:ascii="Arial" w:eastAsia="Arial" w:hAnsi="Arial" w:cs="Arial"/>
          <w:sz w:val="24"/>
          <w:szCs w:val="24"/>
        </w:rPr>
        <w:t xml:space="preserve"> los parlamentos nacionales de</w:t>
      </w:r>
      <w:r w:rsidR="00A020B0">
        <w:rPr>
          <w:rFonts w:ascii="Arial" w:eastAsia="Arial" w:hAnsi="Arial" w:cs="Arial"/>
          <w:sz w:val="24"/>
          <w:szCs w:val="24"/>
        </w:rPr>
        <w:t xml:space="preserve"> l</w:t>
      </w:r>
      <w:r w:rsidRPr="00F56E2F">
        <w:rPr>
          <w:rFonts w:ascii="Arial" w:eastAsia="Arial" w:hAnsi="Arial" w:cs="Arial"/>
          <w:sz w:val="24"/>
          <w:szCs w:val="24"/>
        </w:rPr>
        <w:t>os países soberanos</w:t>
      </w:r>
      <w:r w:rsidR="00A020B0">
        <w:rPr>
          <w:rFonts w:ascii="Arial" w:eastAsia="Arial" w:hAnsi="Arial" w:cs="Arial"/>
          <w:sz w:val="24"/>
          <w:szCs w:val="24"/>
        </w:rPr>
        <w:t xml:space="preserve"> </w:t>
      </w:r>
      <w:r w:rsidRPr="00F56E2F">
        <w:rPr>
          <w:rFonts w:ascii="Arial" w:eastAsia="Arial" w:hAnsi="Arial" w:cs="Arial"/>
          <w:sz w:val="24"/>
          <w:szCs w:val="24"/>
        </w:rPr>
        <w:t>e independientes de América Latina y el Caribe, elegidos democráticamente mediante sufragio popular, cuyos países suscribieron el correspondiente Tratado de Institucionalización el 16 de noviembre de 1987, en Lima – Perú</w:t>
      </w:r>
      <w:r w:rsidR="007D5234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sz w:val="24"/>
            <w:szCs w:val="24"/>
          </w:rPr>
          <w:id w:val="-2025388587"/>
          <w:citation/>
        </w:sdtPr>
        <w:sdtEndPr/>
        <w:sdtContent>
          <w:r w:rsidR="007D5234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="007D5234">
            <w:rPr>
              <w:rFonts w:ascii="Arial" w:eastAsia="Arial" w:hAnsi="Arial" w:cs="Arial"/>
              <w:sz w:val="24"/>
              <w:szCs w:val="24"/>
              <w:lang w:val="es-PA"/>
            </w:rPr>
            <w:instrText xml:space="preserve"> CITATION PAR \l 6154 </w:instrText>
          </w:r>
          <w:r w:rsidR="007D5234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7D5234" w:rsidRPr="007D5234">
            <w:rPr>
              <w:rFonts w:ascii="Arial" w:eastAsia="Arial" w:hAnsi="Arial" w:cs="Arial"/>
              <w:noProof/>
              <w:sz w:val="24"/>
              <w:szCs w:val="24"/>
              <w:lang w:val="es-PA"/>
            </w:rPr>
            <w:t>(PARLATINO)</w:t>
          </w:r>
          <w:r w:rsidR="007D5234">
            <w:rPr>
              <w:rFonts w:ascii="Arial" w:eastAsia="Arial" w:hAnsi="Arial" w:cs="Arial"/>
              <w:sz w:val="24"/>
              <w:szCs w:val="24"/>
            </w:rPr>
            <w:fldChar w:fldCharType="end"/>
          </w:r>
        </w:sdtContent>
      </w:sdt>
      <w:r w:rsidRPr="00F56E2F">
        <w:rPr>
          <w:rFonts w:ascii="Arial" w:eastAsia="Arial" w:hAnsi="Arial" w:cs="Arial"/>
          <w:sz w:val="24"/>
          <w:szCs w:val="24"/>
        </w:rPr>
        <w:t>.</w:t>
      </w:r>
    </w:p>
    <w:p w14:paraId="30120422" w14:textId="2E5DCF59" w:rsidR="00467332" w:rsidRDefault="00B80F9E" w:rsidP="263055A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PARLATINO tiene propósitos como la de velar por el respeto a los derechos humanos, fomentar el desarrollo económico y social en la comunidad latinoamericana; estudiar y debatir soluciones a problemas que surgen en la región.</w:t>
      </w:r>
    </w:p>
    <w:p w14:paraId="5FE852AF" w14:textId="11656C4F" w:rsidR="00B80F9E" w:rsidRDefault="00E0563D" w:rsidP="263055A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hecho, Panamá es sede central del PARLATINO, teniendo su sede en la avenida principal Amador.</w:t>
      </w:r>
    </w:p>
    <w:p w14:paraId="2281518C" w14:textId="78F5E937" w:rsidR="263055AA" w:rsidRDefault="263055AA" w:rsidP="263055AA">
      <w:pPr>
        <w:jc w:val="both"/>
        <w:rPr>
          <w:rFonts w:ascii="Arial" w:eastAsia="Arial" w:hAnsi="Arial" w:cs="Arial"/>
          <w:sz w:val="24"/>
          <w:szCs w:val="24"/>
        </w:rPr>
      </w:pPr>
    </w:p>
    <w:sectPr w:rsidR="263055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5D66"/>
    <w:multiLevelType w:val="hybridMultilevel"/>
    <w:tmpl w:val="B32AE046"/>
    <w:lvl w:ilvl="0" w:tplc="5C9A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AB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66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EA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0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2A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89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6E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85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B40A3"/>
    <w:rsid w:val="0005571E"/>
    <w:rsid w:val="001121FC"/>
    <w:rsid w:val="0017329D"/>
    <w:rsid w:val="001877F5"/>
    <w:rsid w:val="001A58DA"/>
    <w:rsid w:val="002664F8"/>
    <w:rsid w:val="00334489"/>
    <w:rsid w:val="00336A3A"/>
    <w:rsid w:val="00356E5F"/>
    <w:rsid w:val="003B3D1A"/>
    <w:rsid w:val="00414FD7"/>
    <w:rsid w:val="00467332"/>
    <w:rsid w:val="004B75BC"/>
    <w:rsid w:val="004C2ECF"/>
    <w:rsid w:val="00612DC5"/>
    <w:rsid w:val="00645EC3"/>
    <w:rsid w:val="006622BA"/>
    <w:rsid w:val="0067458F"/>
    <w:rsid w:val="00702B72"/>
    <w:rsid w:val="00760387"/>
    <w:rsid w:val="007A3CAC"/>
    <w:rsid w:val="007B5295"/>
    <w:rsid w:val="007D5234"/>
    <w:rsid w:val="0089662F"/>
    <w:rsid w:val="008A6BC9"/>
    <w:rsid w:val="008B6F3B"/>
    <w:rsid w:val="008F19CC"/>
    <w:rsid w:val="009B0017"/>
    <w:rsid w:val="009F275C"/>
    <w:rsid w:val="00A020B0"/>
    <w:rsid w:val="00A70D0D"/>
    <w:rsid w:val="00B02858"/>
    <w:rsid w:val="00B31D60"/>
    <w:rsid w:val="00B80F9E"/>
    <w:rsid w:val="00B85685"/>
    <w:rsid w:val="00BC332D"/>
    <w:rsid w:val="00C01F1F"/>
    <w:rsid w:val="00C03F34"/>
    <w:rsid w:val="00D321F6"/>
    <w:rsid w:val="00E01098"/>
    <w:rsid w:val="00E015DB"/>
    <w:rsid w:val="00E0563D"/>
    <w:rsid w:val="00F56E2F"/>
    <w:rsid w:val="00F86247"/>
    <w:rsid w:val="01D07C50"/>
    <w:rsid w:val="03D1E3EB"/>
    <w:rsid w:val="04A1BC19"/>
    <w:rsid w:val="04AEA4BE"/>
    <w:rsid w:val="06A1D27B"/>
    <w:rsid w:val="08761F93"/>
    <w:rsid w:val="08C5BC3D"/>
    <w:rsid w:val="09177E55"/>
    <w:rsid w:val="092E7489"/>
    <w:rsid w:val="09C52441"/>
    <w:rsid w:val="0B7AA0F0"/>
    <w:rsid w:val="0B7EA253"/>
    <w:rsid w:val="0B9B6BF8"/>
    <w:rsid w:val="0DE70933"/>
    <w:rsid w:val="0E28254B"/>
    <w:rsid w:val="0E3B4657"/>
    <w:rsid w:val="0E416B17"/>
    <w:rsid w:val="0E633EF8"/>
    <w:rsid w:val="0EBF8ACD"/>
    <w:rsid w:val="0F4108B8"/>
    <w:rsid w:val="12B5C4F4"/>
    <w:rsid w:val="14B01DA0"/>
    <w:rsid w:val="14D5731A"/>
    <w:rsid w:val="154A204D"/>
    <w:rsid w:val="15F5DF5C"/>
    <w:rsid w:val="1683E890"/>
    <w:rsid w:val="199FEBD4"/>
    <w:rsid w:val="19B177A8"/>
    <w:rsid w:val="1A147642"/>
    <w:rsid w:val="1B11B1A5"/>
    <w:rsid w:val="1C385130"/>
    <w:rsid w:val="1C820AA9"/>
    <w:rsid w:val="1D4DEA06"/>
    <w:rsid w:val="204583CD"/>
    <w:rsid w:val="20E36458"/>
    <w:rsid w:val="20F3D4A3"/>
    <w:rsid w:val="212DF288"/>
    <w:rsid w:val="22FE9DFE"/>
    <w:rsid w:val="233ACA65"/>
    <w:rsid w:val="23C5C816"/>
    <w:rsid w:val="249F7AB6"/>
    <w:rsid w:val="25647411"/>
    <w:rsid w:val="2608A364"/>
    <w:rsid w:val="263055AA"/>
    <w:rsid w:val="2681542D"/>
    <w:rsid w:val="28597123"/>
    <w:rsid w:val="29E59EBD"/>
    <w:rsid w:val="2A66678F"/>
    <w:rsid w:val="2AA2F966"/>
    <w:rsid w:val="2BF2E06A"/>
    <w:rsid w:val="2E0610DF"/>
    <w:rsid w:val="2F11FFF7"/>
    <w:rsid w:val="3041C4BA"/>
    <w:rsid w:val="333FA54A"/>
    <w:rsid w:val="34DDD708"/>
    <w:rsid w:val="34F2F16B"/>
    <w:rsid w:val="36A87BA7"/>
    <w:rsid w:val="37AB40A3"/>
    <w:rsid w:val="37CA94C8"/>
    <w:rsid w:val="3992FBF6"/>
    <w:rsid w:val="3AC01B2E"/>
    <w:rsid w:val="3AF4B9A9"/>
    <w:rsid w:val="3B4D8107"/>
    <w:rsid w:val="3B6A8FB4"/>
    <w:rsid w:val="3B8BF616"/>
    <w:rsid w:val="3BE876A7"/>
    <w:rsid w:val="3EE7F09C"/>
    <w:rsid w:val="3F85ACB5"/>
    <w:rsid w:val="40EF29ED"/>
    <w:rsid w:val="40F686C5"/>
    <w:rsid w:val="4189ED2F"/>
    <w:rsid w:val="4197705D"/>
    <w:rsid w:val="42B07154"/>
    <w:rsid w:val="433AED01"/>
    <w:rsid w:val="436CAC7A"/>
    <w:rsid w:val="43DFA86D"/>
    <w:rsid w:val="443243DD"/>
    <w:rsid w:val="4480A007"/>
    <w:rsid w:val="45915858"/>
    <w:rsid w:val="45D5C538"/>
    <w:rsid w:val="46011FFD"/>
    <w:rsid w:val="47A7F2BD"/>
    <w:rsid w:val="4A39BC57"/>
    <w:rsid w:val="4B1D5336"/>
    <w:rsid w:val="4B6622BB"/>
    <w:rsid w:val="4B70B609"/>
    <w:rsid w:val="4C35BB4A"/>
    <w:rsid w:val="51B2D240"/>
    <w:rsid w:val="5314F604"/>
    <w:rsid w:val="5342AE1F"/>
    <w:rsid w:val="537A8157"/>
    <w:rsid w:val="54DB0D92"/>
    <w:rsid w:val="57C48860"/>
    <w:rsid w:val="583EB58F"/>
    <w:rsid w:val="588D55F3"/>
    <w:rsid w:val="5BAEA7C3"/>
    <w:rsid w:val="605DD5D8"/>
    <w:rsid w:val="60795528"/>
    <w:rsid w:val="642FFADE"/>
    <w:rsid w:val="6467453D"/>
    <w:rsid w:val="6613BFDE"/>
    <w:rsid w:val="66A3086C"/>
    <w:rsid w:val="68195A90"/>
    <w:rsid w:val="6819FD21"/>
    <w:rsid w:val="68634D90"/>
    <w:rsid w:val="6A1DCA8C"/>
    <w:rsid w:val="6A8A2735"/>
    <w:rsid w:val="6B75B029"/>
    <w:rsid w:val="6C991227"/>
    <w:rsid w:val="7028C418"/>
    <w:rsid w:val="705668EC"/>
    <w:rsid w:val="70EB3B43"/>
    <w:rsid w:val="72DFA50B"/>
    <w:rsid w:val="72F2D738"/>
    <w:rsid w:val="7328E8B9"/>
    <w:rsid w:val="734645A0"/>
    <w:rsid w:val="73B1C894"/>
    <w:rsid w:val="746EE163"/>
    <w:rsid w:val="755C7917"/>
    <w:rsid w:val="75DBAE99"/>
    <w:rsid w:val="768E48DA"/>
    <w:rsid w:val="77AC8A69"/>
    <w:rsid w:val="789C99ED"/>
    <w:rsid w:val="78BFCF4B"/>
    <w:rsid w:val="791840CB"/>
    <w:rsid w:val="799DCF13"/>
    <w:rsid w:val="7A464DE0"/>
    <w:rsid w:val="7A4CED72"/>
    <w:rsid w:val="7A935DB0"/>
    <w:rsid w:val="7B54E3F9"/>
    <w:rsid w:val="7BC6C30B"/>
    <w:rsid w:val="7BE1B5AA"/>
    <w:rsid w:val="7C7AB9FC"/>
    <w:rsid w:val="7C894AB4"/>
    <w:rsid w:val="7DFC6DBD"/>
    <w:rsid w:val="7E5EAB99"/>
    <w:rsid w:val="7E9B9F77"/>
    <w:rsid w:val="7F20C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B40A3"/>
  <w15:chartTrackingRefBased/>
  <w15:docId w15:val="{53586087-8F1D-4797-AD52-1BACC043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60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Rob09</b:Tag>
    <b:SourceType>InternetSite</b:SourceType>
    <b:Guid>{BF38562F-C99C-4286-AC0B-9FB29135E3CD}</b:Guid>
    <b:Author>
      <b:Author>
        <b:NameList>
          <b:Person>
            <b:Last>Zárate</b:Last>
            <b:First>Roberto</b:First>
            <b:Middle>Ortiz de</b:Middle>
          </b:Person>
        </b:NameList>
      </b:Author>
    </b:Author>
    <b:Title>CIDOB</b:Title>
    <b:Year>2009</b:Year>
    <b:Month>10</b:Month>
    <b:RefOrder>1</b:RefOrder>
  </b:Source>
  <b:Source>
    <b:Tag>Tas15</b:Tag>
    <b:SourceType>Report</b:SourceType>
    <b:Guid>{7DB896DC-E004-4935-9B75-35FAFB250595}</b:Guid>
    <b:Title>LA PRIVATIZACIÓN DURANTE LA GESTIÓN GUBERNAMENTAL DE ERNESTO PÉREZ BALLADARES (1994-1999) Y SUS EFECTOS EN LAS GANANCIAS Y LOS INGRESOS PRODUCTO DE LA EJECUCIÓN PRESUPUESTARIA DE LA ADMINISTRACIÓN PÚBLICA</b:Title>
    <b:Year>2015</b:Year>
    <b:Author>
      <b:Author>
        <b:NameList>
          <b:Person>
            <b:Last>Tasón</b:Last>
            <b:First>Carlos</b:First>
            <b:Middle>Horacio</b:Middle>
          </b:Person>
        </b:NameList>
      </b:Author>
    </b:Author>
    <b:City>Veraguas, Panamá</b:City>
    <b:Publisher>SIBIUP</b:Publisher>
    <b:RefOrder>3</b:RefOrder>
  </b:Source>
  <b:Source>
    <b:Tag>Fer03</b:Tag>
    <b:SourceType>InternetSite</b:SourceType>
    <b:Guid>{4ACDB6A9-FD26-490B-8C28-EBD9B9723BC2}</b:Guid>
    <b:Title>ENSA</b:Title>
    <b:Year>2003</b:Year>
    <b:Author>
      <b:Author>
        <b:NameList>
          <b:Person>
            <b:Last>Porras</b:Last>
            <b:First>Fernando</b:First>
            <b:Middle>Aramburú</b:Middle>
          </b:Person>
        </b:NameList>
      </b:Author>
    </b:Author>
    <b:URL>https://www.ensa.com.pa/preguntas-frecuentes/preguntas-generales/por-que-privatizaron-el-irhe</b:URL>
    <b:RefOrder>4</b:RefOrder>
  </b:Source>
  <b:Source>
    <b:Tag>CID01</b:Tag>
    <b:SourceType>DocumentFromInternetSite</b:SourceType>
    <b:Guid>{0A9E21EA-08A6-4B2E-B73C-F487BFF28A92}</b:Guid>
    <b:Title>CIDOB</b:Title>
    <b:Year>2001</b:Year>
    <b:Month>3</b:Month>
    <b:Day>20</b:Day>
    <b:URL>https://www.cidob.org/content/pdf/1539</b:URL>
    <b:Author>
      <b:Author>
        <b:Corporate>CIDOB</b:Corporate>
      </b:Author>
    </b:Author>
    <b:RefOrder>2</b:RefOrder>
  </b:Source>
  <b:Source>
    <b:Tag>Ped20</b:Tag>
    <b:SourceType>Interview</b:SourceType>
    <b:Guid>{F509A7F2-A12E-44B0-BEB5-A67AF79A7460}</b:Guid>
    <b:Title>Pedro Heilbron calcula que la industria de la aviación tardará tres años en recuperarse de la pandemia</b:Title>
    <b:Year>2020</b:Year>
    <b:Month>5</b:Month>
    <b:Day>20</b:Day>
    <b:PeriodicalTitle>Café con la prensa</b:PeriodicalTitle>
    <b:Author>
      <b:Author>
        <b:NameList>
          <b:Person>
            <b:Last>Cárdenas</b:Last>
            <b:First>Henry</b:First>
          </b:Person>
        </b:NameList>
      </b:Author>
      <b:Interviewee>
        <b:NameList>
          <b:Person>
            <b:Last>Heilbron</b:Last>
            <b:First>Pedro</b:First>
          </b:Person>
        </b:NameList>
      </b:Interviewee>
      <b:Interviewer>
        <b:NameList>
          <b:Person>
            <b:Last>Cárdenas</b:Last>
            <b:First>Henry</b:First>
          </b:Person>
        </b:NameList>
      </b:Interviewer>
    </b:Author>
    <b:RefOrder>6</b:RefOrder>
  </b:Source>
  <b:Source>
    <b:Tag>ATP08</b:Tag>
    <b:SourceType>DocumentFromInternetSite</b:SourceType>
    <b:Guid>{4FC75588-432C-4B6B-BC22-DEF842898131}</b:Guid>
    <b:Title>ATP</b:Title>
    <b:Year>2008</b:Year>
    <b:Month>10</b:Month>
    <b:Day>17</b:Day>
    <b:Author>
      <b:Author>
        <b:NameList>
          <b:Person>
            <b:Last>ATP</b:Last>
          </b:Person>
        </b:NameList>
      </b:Author>
    </b:Author>
    <b:InternetSiteTitle>Plan Maestro de Turismo Sostenible de Panamá</b:InternetSiteTitle>
    <b:URL>https://www.atp.gob.pa/wp-content/uploads/2020/08/9-3-Plan-Estrate%CC%81gicos.pdf</b:URL>
    <b:RefOrder>5</b:RefOrder>
  </b:Source>
  <b:Source>
    <b:Tag>Pla01</b:Tag>
    <b:SourceType>Report</b:SourceType>
    <b:Guid>{A2B91CC0-7072-44B0-83DF-965E0177CDAB}</b:Guid>
    <b:Title>Plan Puebla Panamá Documento Base</b:Title>
    <b:Year>2001</b:Year>
    <b:Author>
      <b:Author>
        <b:NameList>
          <b:Person>
            <b:Last>Panamá</b:Last>
            <b:First>Plan</b:First>
            <b:Middle>Puebla</b:Middle>
          </b:Person>
        </b:NameList>
      </b:Author>
    </b:Author>
    <b:City>México</b:City>
    <b:RefOrder>7</b:RefOrder>
  </b:Source>
  <b:Source>
    <b:Tag>ReD05</b:Tag>
    <b:SourceType>DocumentFromInternetSite</b:SourceType>
    <b:Guid>{47CD2CEE-460E-41B5-8F36-6DF9CB92EFB5}</b:Guid>
    <b:Title>ReDDi</b:Title>
    <b:Year>2005</b:Year>
    <b:Month>8</b:Month>
    <b:Day>16</b:Day>
    <b:URL>http://bdigital.binal.ac.pa/bdp/artpma/pueblapanama2.pdf</b:URL>
    <b:RefOrder>8</b:RefOrder>
  </b:Source>
  <b:Source>
    <b:Tag>Pan00</b:Tag>
    <b:SourceType>DocumentFromInternetSite</b:SourceType>
    <b:Guid>{D3B968E1-298D-4FE8-A2E4-D7C85650DB66}</b:Guid>
    <b:Author>
      <b:Author>
        <b:Corporate>Panamá América</b:Corporate>
      </b:Author>
    </b:Author>
    <b:Title>Panamá América</b:Title>
    <b:Year>2000</b:Year>
    <b:Month>8</b:Month>
    <b:Day>15</b:Day>
    <b:URL>https://www.panamaamerica.com.pa/opinion/el-plan-colombia-y-panama-225256</b:URL>
    <b:RefOrder>9</b:RefOrder>
  </b:Source>
  <b:Source>
    <b:Tag>Rol20</b:Tag>
    <b:SourceType>DocumentFromInternetSite</b:SourceType>
    <b:Guid>{50B5E0CD-953E-4B71-83AA-847B43CC9C81}</b:Guid>
    <b:Author>
      <b:Author>
        <b:NameList>
          <b:Person>
            <b:Last>Rodríguez</b:Last>
            <b:First>Rolando</b:First>
          </b:Person>
        </b:NameList>
      </b:Author>
    </b:Author>
    <b:Title>La Prensa</b:Title>
    <b:Year>2020</b:Year>
    <b:Month>7</b:Month>
    <b:Day>30</b:Day>
    <b:URL>https://www.prensa.com/impresa/panorama/el-dia-que-panama-salio-del-parlacen/</b:URL>
    <b:RefOrder>10</b:RefOrder>
  </b:Source>
  <b:Source>
    <b:Tag>PAR14</b:Tag>
    <b:SourceType>DocumentFromInternetSite</b:SourceType>
    <b:Guid>{5A728FE0-E3D4-431B-AE05-637F240EFC37}</b:Guid>
    <b:Author>
      <b:Author>
        <b:NameList>
          <b:Person>
            <b:Last>PARLACEN</b:Last>
          </b:Person>
        </b:NameList>
      </b:Author>
    </b:Author>
    <b:Title>PARLACEN</b:Title>
    <b:Year>2014</b:Year>
    <b:Month>5</b:Month>
    <b:Day>3</b:Day>
    <b:URL>http://www.parlacen.int/Informaci%C3%B3nGeneral/HistoriadelParlamento.aspx</b:URL>
    <b:RefOrder>11</b:RefOrder>
  </b:Source>
  <b:Source>
    <b:Tag>PAR</b:Tag>
    <b:SourceType>DocumentFromInternetSite</b:SourceType>
    <b:Guid>{8AEF6C58-6C19-4321-A87F-5CDAF1293DBC}</b:Guid>
    <b:Author>
      <b:Author>
        <b:NameList>
          <b:Person>
            <b:Last>PARLATINO</b:Last>
          </b:Person>
        </b:NameList>
      </b:Author>
    </b:Author>
    <b:Title>PARLATINO</b:Title>
    <b:URL>https://parlatino.org/historia-y-objetivos/</b:URL>
    <b:RefOrder>12</b:RefOrder>
  </b:Source>
</b:Sources>
</file>

<file path=customXml/itemProps1.xml><?xml version="1.0" encoding="utf-8"?>
<ds:datastoreItem xmlns:ds="http://schemas.openxmlformats.org/officeDocument/2006/customXml" ds:itemID="{5B442003-4DED-4AE7-876A-BBCFDEB5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1513</Words>
  <Characters>8327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45</cp:revision>
  <dcterms:created xsi:type="dcterms:W3CDTF">2020-09-29T02:28:00Z</dcterms:created>
  <dcterms:modified xsi:type="dcterms:W3CDTF">2020-10-05T19:42:00Z</dcterms:modified>
</cp:coreProperties>
</file>