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5"/>
        <w:gridCol w:w="8185"/>
      </w:tblGrid>
      <w:tr>
        <w:trPr/>
        <w:tc>
          <w:tcPr>
            <w:tcW w:w="1385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5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sz w:val="28"/>
        </w:rPr>
        <w:t>1</w:t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по теме: «Длинная арифметика»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>Выполнил студент: __</w:t>
      </w:r>
      <w:r>
        <w:rPr>
          <w:rFonts w:cs="Times New Roman"/>
          <w:b/>
          <w:bCs/>
          <w:i/>
          <w:sz w:val="28"/>
          <w:szCs w:val="28"/>
          <w:lang w:eastAsia="ar-SA"/>
        </w:rPr>
        <w:t>Клименко_Алексей_Константинович</w:t>
      </w:r>
      <w:r>
        <w:rPr>
          <w:bCs/>
          <w:sz w:val="28"/>
          <w:szCs w:val="28"/>
          <w:lang w:eastAsia="ar-SA"/>
        </w:rPr>
        <w:t>____________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  <w:t>Группа: ____</w:t>
      </w:r>
      <w:r>
        <w:rPr>
          <w:b/>
          <w:bCs/>
          <w:i/>
          <w:sz w:val="28"/>
          <w:szCs w:val="28"/>
          <w:lang w:eastAsia="ar-SA"/>
        </w:rPr>
        <w:t>ИУ7-35Б</w:t>
      </w:r>
      <w:r>
        <w:rPr>
          <w:bCs/>
          <w:sz w:val="28"/>
          <w:szCs w:val="28"/>
          <w:lang w:eastAsia="ar-SA"/>
        </w:rPr>
        <w:t>_____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>Проверил, к.п.н.____________________________________</w:t>
      </w:r>
      <w:r>
        <w:rPr>
          <w:b/>
          <w:sz w:val="28"/>
          <w:szCs w:val="20"/>
          <w:lang w:eastAsia="ar-SA"/>
        </w:rPr>
        <w:t xml:space="preserve">_______________ </w:t>
      </w:r>
    </w:p>
    <w:p>
      <w:pPr>
        <w:pStyle w:val="Normal"/>
        <w:suppressAutoHyphens w:val="true"/>
        <w:ind w:left="709" w:right="565" w:firstLine="709"/>
        <w:rPr>
          <w:sz w:val="20"/>
          <w:szCs w:val="20"/>
          <w:lang w:eastAsia="ar-SA"/>
        </w:rPr>
      </w:pPr>
      <w:r>
        <w:rPr>
          <w:i/>
          <w:szCs w:val="18"/>
          <w:lang w:eastAsia="ar-SA"/>
        </w:rPr>
        <w:tab/>
        <w:tab/>
        <w:tab/>
        <w:tab/>
        <w:t xml:space="preserve">              подпись, дата                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Normal"/>
        <w:jc w:val="both"/>
        <w:rPr>
          <w:rFonts w:ascii="Calibri" w:hAnsi="Calibri"/>
          <w:b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</w:rPr>
        <w:t>научиться правильно выбирать структуры данных для решения конкретных задач, обосновывать свой выбор. Научиться программировать алгоритмы, на основе выбранных структур данных.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/>
          <w:color w:val="auto"/>
          <w:spacing w:val="0"/>
        </w:rPr>
      </w:pPr>
      <w:r>
        <w:rPr>
          <w:rFonts w:cs="Times New Roman" w:ascii="Calibri" w:hAnsi="Calibri"/>
          <w:b/>
          <w:bCs/>
          <w:sz w:val="40"/>
          <w:szCs w:val="40"/>
          <w:lang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eastAsia="ru-RU"/>
        </w:rPr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Необходимо составить программу, выполняющую операцию деления двух введёных пользователем с клавиатуры вещественных чисел, с последующим выводом результата на экран.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При невозможности произвести вычисление, программа должна выдавать информативное сообщение об ошибке.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т</w:t>
      </w:r>
      <w:r>
        <w:rPr>
          <w:rFonts w:cs="Times New Roman" w:ascii="Calibri" w:hAnsi="Calibri"/>
          <w:b/>
          <w:bCs/>
          <w:sz w:val="40"/>
          <w:szCs w:val="40"/>
          <w:lang w:eastAsia="ru-RU"/>
        </w:rPr>
        <w:t>ехническое задание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lang w:eastAsia="ru-RU"/>
        </w:rPr>
      </w:pPr>
      <w:r>
        <w:rPr>
          <w:sz w:val="36"/>
          <w:szCs w:val="36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Оба вводимых числа являются действительными и вводятся в любой из нижеперечисленных форм, где суммарная длина мантиссы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</w:rPr>
        <w:t>(m+n) - до 30 значащих десятичных цифр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, а величина порядка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</w:rPr>
        <w:t>K - до 5 десятичных цифр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Формы вводимого числа: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8"/>
        </w:rPr>
        <w:t>[±]m[.[n]][e[±]K]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8"/>
        </w:rPr>
        <w:t>[±].n[e[±]K]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</w:rPr>
        <w:t>Квадратные скобки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[...]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 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обозначают опциональность данной конструкции (можно опустить при вводе). 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Символ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</w:rPr>
        <w:t>±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 означает, что на этом месте может быть либо плюс, либо минус. В любой форме допустимо использовать символ экспоненты в произвольном регистре.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Результат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 (частное) выводится в форме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</w:rPr>
        <w:t>±0.pE±L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, где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</w:rPr>
        <w:t>p - до 30 значащих десятичных цифр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, а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</w:rPr>
        <w:t>L - до 5 десятичных цифр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</w:rPr>
        <w:t>При возникновении аварийных ситуаций результатом работы программы является сообщение об ошибке.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задачи, реализуемой программой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Программа при запуске запрашивает у пользователя ввести число в любом из предложенных форматов. После того, как пользователь вводит число, оно сохраняется в строку и далее обрабатывается и преобразуется в структуру, используемую для представления больших вещественных чисел. Затем описанный процесс ввода повторяется для второго числа, после чего происходит выполнение основного алгоритма деления двух вещественных чисел с последующим выводом результата на экран консоли.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Вызов программы происходит любым возможным способом запуска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>*.ехе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 программ. (Например, через консоль). Для корректной работы программы при её вызове не требуются дополнительные аргументы командной строки.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</w:rPr>
        <w:t>При не соответствии вводимого числа формату ввода выполнение программы останавливается с предварительным оповещением пользователя о том, в каком месте была допущена ошибка при вводе.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При невозможности выполнить деление введённых чисел без потери данных (переполнении) выполнение программы останавливается и выводится соответствующее сообщение об ошибке.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Структуры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Для хранения больших вещественных чисел, была выбрана структура, содержащая в качестве своих полей знак мантиссы (1 байт), модуль самой мантиссы в виде массива из 15 байт (по паре десятичных чисел в каждом байте), и степень экспоненты (целое знаковое 4 байта).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697095" cy="233680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Выбор такой структуры был мотивирован балансом между компактностью хранения данных и удобством их обработки (как будет видно далее). Вся структура занимает всего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</w:rPr>
        <w:t>20 байт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Множетво допустимых значений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ascii="Calibri" w:hAnsi="Calibri"/>
          <w:sz w:val="28"/>
          <w:szCs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 xml:space="preserve">Данная СД используется для хранения вещественных чисел в интервале </w:t>
      </w:r>
      <w:r>
        <w:rPr>
          <w:rFonts w:eastAsia="Calibri" w:cs="Calibri" w:ascii="Consolas" w:hAnsi="Consolas"/>
          <w:color w:val="auto"/>
          <w:spacing w:val="0"/>
          <w:sz w:val="28"/>
          <w:szCs w:val="28"/>
        </w:rPr>
        <w:t>[-0.</w:t>
      </w:r>
      <w:r>
        <w:rPr>
          <w:rFonts w:eastAsia="Calibri" w:cs="Calibri" w:ascii="Consolas" w:hAnsi="Consolas"/>
          <w:color w:val="auto"/>
          <w:spacing w:val="0"/>
          <w:sz w:val="28"/>
          <w:szCs w:val="28"/>
          <w:lang w:val="en-US"/>
        </w:rPr>
        <w:t>9..9</w:t>
      </w:r>
      <w:r>
        <w:rPr>
          <w:rFonts w:eastAsia="Calibri" w:cs="Calibri" w:ascii="Consolas" w:hAnsi="Consolas"/>
          <w:color w:val="auto"/>
          <w:spacing w:val="0"/>
          <w:sz w:val="28"/>
          <w:szCs w:val="28"/>
        </w:rPr>
        <w:t>е-99999; +0.9..9е+99999]</w:t>
      </w: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 xml:space="preserve"> с точностью до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28"/>
        </w:rPr>
        <w:t>30 значащих цифр</w:t>
      </w: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Набор допустимых операций</w:t>
      </w:r>
    </w:p>
    <w:p>
      <w:pPr>
        <w:pStyle w:val="Style22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ab/>
        <w:t>1. Обнуление числовой структуры.</w:t>
      </w:r>
    </w:p>
    <w:p>
      <w:pPr>
        <w:pStyle w:val="Style22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ab/>
        <w:t>2. Считывание числовой структуры в установленном формате из строки.</w:t>
      </w:r>
    </w:p>
    <w:p>
      <w:pPr>
        <w:pStyle w:val="Style22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ab/>
        <w:t>3. Конвертирование числовой структуры обратно в строку для дальшейшего вывода.</w:t>
      </w:r>
    </w:p>
    <w:p>
      <w:pPr>
        <w:pStyle w:val="Style22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ab/>
        <w:t>4. Проверки на определённые значения структуры (0, 1).</w:t>
      </w:r>
    </w:p>
    <w:p>
      <w:pPr>
        <w:pStyle w:val="Style22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ab/>
        <w:t>5. Сравнение мантисс двух числовых структур.</w:t>
      </w:r>
    </w:p>
    <w:p>
      <w:pPr>
        <w:pStyle w:val="Style22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ab/>
        <w:t>6. Умножение мантиссы числа на десятичное число (от 1 до 10)</w:t>
      </w:r>
    </w:p>
    <w:p>
      <w:pPr>
        <w:pStyle w:val="Style22"/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ab/>
        <w:t>7. Деление одной числовой структуры на другую.</w:t>
      </w:r>
    </w:p>
    <w:p>
      <w:pPr>
        <w:pStyle w:val="Style22"/>
        <w:spacing w:lineRule="auto" w:line="240" w:before="0" w:after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/>
      </w:r>
    </w:p>
    <w:p>
      <w:pPr>
        <w:pStyle w:val="Style22"/>
        <w:spacing w:lineRule="auto" w:line="24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алгоритма обработки данных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Работа алгоритма деления двух чисел, представленных с помощью описанной выше структуры, сводится к следующей последовательности действий: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1. </w:t>
      </w:r>
      <w:r>
        <w:rPr>
          <w:rFonts w:eastAsia="Calibri" w:cs="Calibri" w:ascii="Calibri" w:hAnsi="Calibri"/>
          <w:color w:val="auto"/>
          <w:spacing w:val="0"/>
          <w:sz w:val="28"/>
        </w:rPr>
        <w:t>Проверка на равенство делителя нулю. (ошибка деления на ноль)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2. Проверка на равенство делимого нулю. (возврат ответа без дальнейших расчётов)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3. Проверка на возможное переполнение при делении (ошибка переполнения)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4. Проверка на равенство делителя единице (возврат делимого без изменения)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5. Вычисление знака результирующего числа.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6. Вычисление степени результирующего числа. </w:t>
      </w:r>
      <w:r>
        <w:rPr>
          <w:rFonts w:eastAsia="Calibri" w:cs="Calibri" w:ascii="Calibri" w:hAnsi="Calibri"/>
          <w:color w:val="auto"/>
          <w:spacing w:val="0"/>
          <w:sz w:val="28"/>
        </w:rPr>
        <w:t>(учитывая возможные переносы при делении мантисс)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7. Деление мантисс чисел методом «в столбик».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8.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Округление результирующей мантиссы.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Набор тестов</w:t>
      </w:r>
    </w:p>
    <w:tbl>
      <w:tblPr>
        <w:tblW w:w="935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36"/>
        <w:gridCol w:w="2316"/>
        <w:gridCol w:w="2369"/>
        <w:gridCol w:w="4234"/>
      </w:tblGrid>
      <w:tr>
        <w:trPr/>
        <w:tc>
          <w:tcPr>
            <w:tcW w:w="436" w:type="dxa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3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2316" w:type="dxa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3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369" w:type="dxa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3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4234" w:type="dxa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3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436" w:type="dxa"/>
            <w:tcBorders/>
            <w:shd w:fill="auto" w:val="clear"/>
          </w:tcPr>
          <w:p>
            <w:pPr>
              <w:pStyle w:val="Style32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316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Базовый случай</w:t>
            </w:r>
          </w:p>
        </w:tc>
        <w:tc>
          <w:tcPr>
            <w:tcW w:w="2369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4234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+0.5E+0</w:t>
            </w:r>
          </w:p>
        </w:tc>
      </w:tr>
      <w:tr>
        <w:trPr/>
        <w:tc>
          <w:tcPr>
            <w:tcW w:w="436" w:type="dxa"/>
            <w:tcBorders/>
            <w:shd w:fill="auto" w:val="clear"/>
          </w:tcPr>
          <w:p>
            <w:pPr>
              <w:pStyle w:val="Style32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316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"-" на "+"</w:t>
            </w:r>
          </w:p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69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</w:t>
            </w: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4е0</w:t>
            </w:r>
          </w:p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2.</w:t>
            </w:r>
          </w:p>
        </w:tc>
        <w:tc>
          <w:tcPr>
            <w:tcW w:w="4234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-0.2E+1</w:t>
            </w:r>
          </w:p>
        </w:tc>
      </w:tr>
      <w:tr>
        <w:trPr/>
        <w:tc>
          <w:tcPr>
            <w:tcW w:w="436" w:type="dxa"/>
            <w:tcBorders/>
            <w:shd w:fill="auto" w:val="clear"/>
          </w:tcPr>
          <w:p>
            <w:pPr>
              <w:pStyle w:val="Style32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316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"+" на "-"</w:t>
            </w:r>
          </w:p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69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6.0</w:t>
            </w:r>
          </w:p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-004</w:t>
            </w:r>
          </w:p>
        </w:tc>
        <w:tc>
          <w:tcPr>
            <w:tcW w:w="4234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-0.15E+1</w:t>
            </w:r>
          </w:p>
        </w:tc>
      </w:tr>
      <w:tr>
        <w:trPr/>
        <w:tc>
          <w:tcPr>
            <w:tcW w:w="436" w:type="dxa"/>
            <w:tcBorders/>
            <w:shd w:fill="auto" w:val="clear"/>
          </w:tcPr>
          <w:p>
            <w:pPr>
              <w:pStyle w:val="Style32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316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"-" на "-"</w:t>
            </w:r>
          </w:p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69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>-800е-</w:t>
            </w:r>
            <w:r>
              <w:rPr>
                <w:rFonts w:ascii="Lucida Console" w:hAnsi="Lucida Console"/>
                <w:strike w:val="false"/>
                <w:dstrike w:val="false"/>
                <w:sz w:val="22"/>
                <w:szCs w:val="22"/>
              </w:rPr>
              <w:t>1</w:t>
            </w:r>
          </w:p>
          <w:p>
            <w:pPr>
              <w:pStyle w:val="Style32"/>
              <w:jc w:val="left"/>
              <w:rPr>
                <w:rFonts w:ascii="Lucida Console" w:hAnsi="Lucida Console"/>
                <w:strike w:val="false"/>
                <w:dstrike w:val="false"/>
                <w:sz w:val="22"/>
                <w:szCs w:val="22"/>
              </w:rPr>
            </w:pPr>
            <w:r>
              <w:rPr>
                <w:rFonts w:ascii="Lucida Console" w:hAnsi="Lucida Console"/>
                <w:strike w:val="false"/>
                <w:dstrike w:val="false"/>
                <w:sz w:val="22"/>
                <w:szCs w:val="22"/>
              </w:rPr>
              <w:t>-0.64е2</w:t>
            </w:r>
          </w:p>
        </w:tc>
        <w:tc>
          <w:tcPr>
            <w:tcW w:w="4234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+0.125E+1</w:t>
            </w:r>
          </w:p>
        </w:tc>
      </w:tr>
      <w:tr>
        <w:trPr/>
        <w:tc>
          <w:tcPr>
            <w:tcW w:w="436" w:type="dxa"/>
            <w:tcBorders/>
            <w:shd w:fill="auto" w:val="clear"/>
          </w:tcPr>
          <w:p>
            <w:pPr>
              <w:pStyle w:val="Style32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316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Деление нуля</w:t>
            </w:r>
          </w:p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69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-.21300</w:t>
            </w:r>
          </w:p>
        </w:tc>
        <w:tc>
          <w:tcPr>
            <w:tcW w:w="4234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+0.E+0</w:t>
            </w:r>
          </w:p>
        </w:tc>
      </w:tr>
      <w:tr>
        <w:trPr/>
        <w:tc>
          <w:tcPr>
            <w:tcW w:w="436" w:type="dxa"/>
            <w:tcBorders/>
            <w:shd w:fill="auto" w:val="clear"/>
          </w:tcPr>
          <w:p>
            <w:pPr>
              <w:pStyle w:val="Style32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2316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Деление на ноль</w:t>
            </w:r>
          </w:p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69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7</w:t>
            </w:r>
          </w:p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4234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Деление на ноль не имеет смысла.</w:t>
            </w:r>
          </w:p>
        </w:tc>
      </w:tr>
      <w:tr>
        <w:trPr/>
        <w:tc>
          <w:tcPr>
            <w:tcW w:w="436" w:type="dxa"/>
            <w:tcBorders/>
            <w:shd w:fill="auto" w:val="clear"/>
          </w:tcPr>
          <w:p>
            <w:pPr>
              <w:pStyle w:val="Style32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316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Деление нуля на ноль</w:t>
            </w:r>
          </w:p>
        </w:tc>
        <w:tc>
          <w:tcPr>
            <w:tcW w:w="2369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-0.0е0</w:t>
            </w:r>
          </w:p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+0000.0</w:t>
            </w:r>
          </w:p>
        </w:tc>
        <w:tc>
          <w:tcPr>
            <w:tcW w:w="4234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Деление на ноль не имеет смысла.</w:t>
            </w:r>
          </w:p>
        </w:tc>
      </w:tr>
      <w:tr>
        <w:trPr/>
        <w:tc>
          <w:tcPr>
            <w:tcW w:w="436" w:type="dxa"/>
            <w:tcBorders/>
            <w:shd w:fill="auto" w:val="clear"/>
          </w:tcPr>
          <w:p>
            <w:pPr>
              <w:pStyle w:val="Style32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316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Деление равных</w:t>
            </w:r>
          </w:p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69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3.1415</w:t>
            </w:r>
          </w:p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0.314150е+1</w:t>
            </w:r>
          </w:p>
        </w:tc>
        <w:tc>
          <w:tcPr>
            <w:tcW w:w="4234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+0.1E+1</w:t>
            </w:r>
          </w:p>
        </w:tc>
      </w:tr>
      <w:tr>
        <w:trPr/>
        <w:tc>
          <w:tcPr>
            <w:tcW w:w="436" w:type="dxa"/>
            <w:tcBorders/>
            <w:shd w:fill="auto" w:val="clear"/>
          </w:tcPr>
          <w:p>
            <w:pPr>
              <w:pStyle w:val="Style32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2316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Деление на единицу</w:t>
            </w:r>
          </w:p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69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77.56</w:t>
            </w:r>
          </w:p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4234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0.7756E+2</w:t>
            </w:r>
          </w:p>
        </w:tc>
      </w:tr>
      <w:tr>
        <w:trPr/>
        <w:tc>
          <w:tcPr>
            <w:tcW w:w="436" w:type="dxa"/>
            <w:tcBorders/>
            <w:shd w:fill="auto" w:val="clear"/>
          </w:tcPr>
          <w:p>
            <w:pPr>
              <w:pStyle w:val="Style32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316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Несоответствие формату ввода</w:t>
            </w:r>
          </w:p>
        </w:tc>
        <w:tc>
          <w:tcPr>
            <w:tcW w:w="2369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1300,99</w:t>
            </w:r>
          </w:p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234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Неожиданный символ в числе.</w:t>
            </w:r>
          </w:p>
        </w:tc>
      </w:tr>
      <w:tr>
        <w:trPr/>
        <w:tc>
          <w:tcPr>
            <w:tcW w:w="436" w:type="dxa"/>
            <w:tcBorders/>
            <w:shd w:fill="auto" w:val="clear"/>
          </w:tcPr>
          <w:p>
            <w:pPr>
              <w:pStyle w:val="Style32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2316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Превышение кол-ва цифр в мантиссе</w:t>
            </w:r>
          </w:p>
        </w:tc>
        <w:tc>
          <w:tcPr>
            <w:tcW w:w="2369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1234567890123456789012345678901</w:t>
            </w:r>
          </w:p>
        </w:tc>
        <w:tc>
          <w:tcPr>
            <w:tcW w:w="4234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Суммарная длина мантиссы не должна превышать 30 цифр.</w:t>
            </w:r>
          </w:p>
        </w:tc>
      </w:tr>
      <w:tr>
        <w:trPr/>
        <w:tc>
          <w:tcPr>
            <w:tcW w:w="436" w:type="dxa"/>
            <w:tcBorders/>
            <w:shd w:fill="auto" w:val="clear"/>
          </w:tcPr>
          <w:p>
            <w:pPr>
              <w:pStyle w:val="Style32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2316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Превышение кол-ва цифр в степени</w:t>
            </w:r>
          </w:p>
        </w:tc>
        <w:tc>
          <w:tcPr>
            <w:tcW w:w="2369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1.0е100000</w:t>
            </w:r>
          </w:p>
        </w:tc>
        <w:tc>
          <w:tcPr>
            <w:tcW w:w="4234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Суммарная длина степени не должна превышать 5 цифр.</w:t>
            </w:r>
          </w:p>
        </w:tc>
      </w:tr>
      <w:tr>
        <w:trPr/>
        <w:tc>
          <w:tcPr>
            <w:tcW w:w="436" w:type="dxa"/>
            <w:tcBorders/>
            <w:shd w:fill="auto" w:val="clear"/>
          </w:tcPr>
          <w:p>
            <w:pPr>
              <w:pStyle w:val="Style32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2316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Пустой ввод</w:t>
            </w:r>
          </w:p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69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234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 не ввели числа.</w:t>
            </w:r>
          </w:p>
        </w:tc>
      </w:tr>
      <w:tr>
        <w:trPr/>
        <w:tc>
          <w:tcPr>
            <w:tcW w:w="436" w:type="dxa"/>
            <w:tcBorders/>
            <w:shd w:fill="auto" w:val="clear"/>
          </w:tcPr>
          <w:p>
            <w:pPr>
              <w:pStyle w:val="Style32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2316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Переполнение при вычислении</w:t>
            </w:r>
          </w:p>
        </w:tc>
        <w:tc>
          <w:tcPr>
            <w:tcW w:w="2369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99999е99999</w:t>
            </w:r>
          </w:p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4234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 выполнении деления произошло переполнение.</w:t>
            </w:r>
          </w:p>
        </w:tc>
      </w:tr>
      <w:tr>
        <w:trPr/>
        <w:tc>
          <w:tcPr>
            <w:tcW w:w="436" w:type="dxa"/>
            <w:tcBorders/>
            <w:shd w:fill="auto" w:val="clear"/>
          </w:tcPr>
          <w:p>
            <w:pPr>
              <w:pStyle w:val="Style32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15</w:t>
            </w:r>
          </w:p>
        </w:tc>
        <w:tc>
          <w:tcPr>
            <w:tcW w:w="2316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Машинный ноль</w:t>
            </w:r>
          </w:p>
        </w:tc>
        <w:tc>
          <w:tcPr>
            <w:tcW w:w="2369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0.001e-99999</w:t>
            </w:r>
          </w:p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4234" w:type="dxa"/>
            <w:tcBorders/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 выполнении деления произошло переполнение.</w:t>
            </w:r>
          </w:p>
        </w:tc>
      </w:tr>
      <w:tr>
        <w:trPr/>
        <w:tc>
          <w:tcPr>
            <w:tcW w:w="436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Style32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6</w:t>
            </w:r>
          </w:p>
        </w:tc>
        <w:tc>
          <w:tcPr>
            <w:tcW w:w="2316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Округление результата</w:t>
            </w:r>
          </w:p>
        </w:tc>
        <w:tc>
          <w:tcPr>
            <w:tcW w:w="2369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999...999</w:t>
            </w:r>
          </w:p>
          <w:p>
            <w:pPr>
              <w:pStyle w:val="Style32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0.5</w:t>
            </w:r>
          </w:p>
        </w:tc>
        <w:tc>
          <w:tcPr>
            <w:tcW w:w="4234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Style32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0.2Е+31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</w:rPr>
        <w:t>В ходе работы я изучил способ представления больших чисел в программе с помощью структуры данных и понял, как большие числа могут быть представлены в программе. А также запрограммировал алгоритм деления двух больших чисел.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</w:rPr>
        <w:t>Каков возможный диапазон чисел, представляемых в ПК?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Диапазон числа зависит от его представления (типа). Для целочисленных знаковых типов диапазон </w:t>
      </w:r>
      <w:r>
        <w:rPr>
          <w:rFonts w:eastAsia="Calibri" w:cs="Calibri" w:ascii="Calibri" w:hAnsi="Calibri"/>
          <w:color w:val="auto"/>
          <w:spacing w:val="0"/>
          <w:sz w:val="28"/>
        </w:rPr>
        <w:t>есть отрезок от -2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^(n-1)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до +2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^(n-1)-1,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где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 xml:space="preserve">n –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>количество бит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 отведённых под хранение данного типа.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>Для вещественных чисел диапазон преимущественно определяется количеством бит отведённых под хранение степени экспоненты. Для 32-битных чисел (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float, single…)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диапазоном является промежуток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от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1.2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>e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-38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до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3.4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>e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+38,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а для 64-битных чисел (double…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)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диапазон — от 2.3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e-308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до 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>1.7e+308.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2.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</w:rPr>
        <w:t>Какова возможная точность представления чисел, чем она определяется?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Точность представления вещественного числа определяется его мантиссой.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Для 32-битных чисел (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float, single…) -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точность сопоставима с 7 значащими десятичными цифрами, а для 64-битных — с 15 значащими десятичными цифрами.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3.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</w:rPr>
        <w:t>Какие стандартные операции возможны над числами?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</w:rPr>
        <w:t>Над числами возможны базовые арифметические операции, такие как сложение, вычитание, умножение, деление.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4.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</w:rPr>
        <w:t>Какой тип данных может выбрать программист, если обрабатываемые числа превышают возможный диапазон представления чисел в ПК?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</w:rPr>
        <w:t>Программист вынужден создать собственный тип, подходящий под конкретную задачу, или найти и использовать открытую библиотеку, которая выполняет обработку больших чисел.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5.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</w:rPr>
        <w:t>Как можно осуществить операции над числами, выходящими за рамки машинного представления?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</w:rPr>
        <w:t>Можно разбить число на группы разрядов и хранить эти группы как отдельные числа в массиве. Обработка такого массива должна выполняться последовательно от элемента соответствующего группе с наименьшими разрядами до элемента соответствующего группе с наибольшими разрядами. При этом важно учитывать возможные переполнения при обработке.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egoe UI Symbol">
    <w:charset w:val="cc"/>
    <w:family w:val="roman"/>
    <w:pitch w:val="variable"/>
  </w:font>
  <w:font w:name="Calibri">
    <w:charset w:val="01"/>
    <w:family w:val="swiss"/>
    <w:pitch w:val="variable"/>
  </w:font>
  <w:font w:name="Consolas">
    <w:charset w:val="cc"/>
    <w:family w:val="modern"/>
    <w:pitch w:val="fixed"/>
  </w:font>
  <w:font w:name="Calibri">
    <w:charset w:val="cc"/>
    <w:family w:val="swiss"/>
    <w:pitch w:val="variable"/>
  </w:font>
  <w:font w:name="Lucida Console"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Lucida 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ucida Sans"/>
    </w:rPr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7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hanging="0"/>
      <w:contextualSpacing/>
    </w:pPr>
    <w:rPr/>
  </w:style>
  <w:style w:type="paragraph" w:styleId="Style28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9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hanging="0"/>
    </w:pPr>
    <w:rPr>
      <w:rFonts w:ascii="Georgia" w:hAnsi="Georgia"/>
      <w:sz w:val="20"/>
      <w:szCs w:val="20"/>
    </w:rPr>
  </w:style>
  <w:style w:type="paragraph" w:styleId="Style30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1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2">
    <w:name w:val="Содержимое таблицы"/>
    <w:basedOn w:val="Normal"/>
    <w:qFormat/>
    <w:pPr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LibreOffice/6.3.1.2$Windows_X86_64 LibreOffice_project/b79626edf0065ac373bd1df5c28bd630b4424273</Application>
  <Pages>6</Pages>
  <Words>1005</Words>
  <Characters>6695</Characters>
  <CharactersWithSpaces>7635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2020-09-23T13:32:21Z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