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AllBlue 사업계획서 초안</w:t>
      </w:r>
    </w:p>
    <w:p>
      <w:r>
        <w:t>2026 제10회 G밸리 창업경진대회 서식 2 작성용</w:t>
      </w:r>
    </w:p>
    <w:p>
      <w:r>
        <w:t>검토 안내  |  현재 코드에서 확인한 기능과 사업화 제안을 구분했습니다. [확인 필요] 항목과 계획안을 대표자가 검토한 뒤 원본 신청서에 반영해야 합니다. 이 파일은 서명·증빙을 포함한 최종 제출본이 아닙니다.</w:t>
      </w:r>
    </w:p>
    <w:p>
      <w:pPr>
        <w:pStyle w:val="Heading1"/>
      </w:pPr>
      <w:r>
        <w:t>1 문제인식</w:t>
      </w:r>
    </w:p>
    <w:p>
      <w:pPr>
        <w:pStyle w:val="Heading2"/>
      </w:pPr>
      <w:r>
        <w:t>창업아이템 개요</w:t>
      </w:r>
    </w:p>
    <w:p>
      <w:r>
        <w:t>AllBlue는 프리다이빙 강사와 교육생이 일정, 수업 참여, 교육 진도, 동의서 확인과 수업 후 피드백을 연결해 관리하는 모바일 서비스다. 강사가 한 차례의 수업을 준비하고 마무리하는 과정에서 필요한 정보를 참여자별로 확인하도록 구성했다. 초기 사업화 대상은 반복적으로 교육과정을 운영하는 프리다이빙 강사와 소규모 교육업체다.</w:t>
      </w:r>
    </w:p>
    <w:p>
      <w:pPr>
        <w:pStyle w:val="Heading2"/>
      </w:pPr>
      <w:r>
        <w:t>개발배경과 해결할 문제</w:t>
      </w:r>
    </w:p>
    <w:p>
      <w:r>
        <w:t>검증할 고객 문제는 수업 정보가 일정표, 대화방, 문서와 개인 기록에 나뉘었을 때 발생하는 반복 확인 업무다. 강사는 참석 여부를 확인한 뒤 참가자의 서류 준비 상태와 이전 교육내용을 다시 찾아야 한다. 수업 이후에도 이수 항목과 다음 교육 목표를 기록해야 한다. 이 과정의 분산이 얼마나 큰 부담인지는 실제 강사 인터뷰와 사용 전후 측정으로 확인한다.</w:t>
      </w:r>
    </w:p>
    <w:p>
      <w:r>
        <w:t>PADI는 프리다이빙 교육을 단계별 과정으로 안내하고 있다[1]. 이는 교육 이력을 지속해서 관리할 사용 맥락의 근거이며, 국내 시장규모나 AllBlue의 수요가 이미 검증되었다는 근거로 사용하지 않는다.</w:t>
      </w:r>
    </w:p>
    <w:tbl>
      <w:tblPr>
        <w:tblW w:type="auto" w:w="0"/>
        <w:jc w:val="center"/>
        <w:tblLayout w:type="fixed"/>
        <w:tblLook w:firstColumn="1" w:firstRow="1" w:lastColumn="0" w:lastRow="0" w:noHBand="0" w:noVBand="1" w:val="04A0"/>
      </w:tblPr>
      <w:tblGrid>
        <w:gridCol w:w="1361"/>
        <w:gridCol w:w="3402"/>
        <w:gridCol w:w="4876"/>
      </w:tblGrid>
      <w:tr>
        <w:trPr>
          <w:cantSplit/>
          <w:tblHeader/>
        </w:trPr>
        <w:tc>
          <w:tcPr>
            <w:tcW w:type="dxa" w:w="136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DF2"/>
          </w:tcPr>
          <w:p>
            <w:pPr>
              <w:spacing w:after="40" w:line="276" w:lineRule="auto"/>
            </w:pPr>
            <w:r>
              <w:rPr>
                <w:b/>
                <w:sz w:val="18"/>
              </w:rPr>
              <w:t>구분</w:t>
            </w:r>
          </w:p>
        </w:tc>
        <w:tc>
          <w:tcPr>
            <w:tcW w:type="dxa" w:w="34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DF2"/>
          </w:tcPr>
          <w:p>
            <w:pPr>
              <w:spacing w:after="40" w:line="276" w:lineRule="auto"/>
            </w:pPr>
            <w:r>
              <w:rPr>
                <w:b/>
                <w:sz w:val="18"/>
              </w:rPr>
              <w:t>초기 대상</w:t>
            </w:r>
          </w:p>
        </w:tc>
        <w:tc>
          <w:tcPr>
            <w:tcW w:type="dxa" w:w="48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DF2"/>
          </w:tcPr>
          <w:p>
            <w:pPr>
              <w:spacing w:after="40" w:line="276" w:lineRule="auto"/>
            </w:pPr>
            <w:r>
              <w:rPr>
                <w:b/>
                <w:sz w:val="18"/>
              </w:rPr>
              <w:t>검증할 구매 이유</w:t>
            </w:r>
          </w:p>
        </w:tc>
      </w:tr>
      <w:tr>
        <w:trPr>
          <w:cantSplit/>
        </w:trPr>
        <w:tc>
          <w:tcPr>
            <w:tcW w:type="dxa" w:w="136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주요 구매자</w:t>
            </w:r>
          </w:p>
        </w:tc>
        <w:tc>
          <w:tcPr>
            <w:tcW w:type="dxa" w:w="34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프리다이빙 강사·소규모 교육업체</w:t>
            </w:r>
          </w:p>
        </w:tc>
        <w:tc>
          <w:tcPr>
            <w:tcW w:type="dxa" w:w="48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수업 준비와 교육기록 관리에 드는 시간 감소</w:t>
            </w:r>
          </w:p>
        </w:tc>
      </w:tr>
      <w:tr>
        <w:trPr>
          <w:cantSplit/>
        </w:trPr>
        <w:tc>
          <w:tcPr>
            <w:tcW w:type="dxa" w:w="136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함께 사용하는 이용자</w:t>
            </w:r>
          </w:p>
        </w:tc>
        <w:tc>
          <w:tcPr>
            <w:tcW w:type="dxa" w:w="34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강사에게 교육받는 수강생</w:t>
            </w:r>
          </w:p>
        </w:tc>
        <w:tc>
          <w:tcPr>
            <w:tcW w:type="dxa" w:w="48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일정 확인과 교육 피드백 접근의 편의</w:t>
            </w:r>
          </w:p>
        </w:tc>
      </w:tr>
      <w:tr>
        <w:trPr>
          <w:cantSplit/>
        </w:trPr>
        <w:tc>
          <w:tcPr>
            <w:tcW w:type="dxa" w:w="136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후속 확장 대상</w:t>
            </w:r>
          </w:p>
        </w:tc>
        <w:tc>
          <w:tcPr>
            <w:tcW w:type="dxa" w:w="34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해양 체험·다이빙센터</w:t>
            </w:r>
          </w:p>
        </w:tc>
        <w:tc>
          <w:tcPr>
            <w:tcW w:type="dxa" w:w="48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여러 강사·반복 방문객 관리의 필요성</w:t>
            </w:r>
          </w:p>
        </w:tc>
      </w:tr>
    </w:tbl>
    <w:p/>
    <w:p>
      <w:r>
        <w:t>[확인 필요] 대표자가 이 문제를 직접 경험한 사례, 인터뷰 대상과 날짜, 현재 확보한 테스트 강사 수. 인터뷰 전에는 위 문제를 검증 가설로 제시한다.</w:t>
      </w:r>
    </w:p>
    <w:p>
      <w:pPr>
        <w:pStyle w:val="Heading1"/>
        <w:pageBreakBefore/>
      </w:pPr>
      <w:r>
        <w:t>2 해결방안</w:t>
      </w:r>
    </w:p>
    <w:p>
      <w:pPr>
        <w:pStyle w:val="Heading2"/>
      </w:pPr>
      <w:r>
        <w:t>수업 전후를 연결하는 사용 흐름</w:t>
      </w:r>
    </w:p>
    <w:p>
      <w:r>
        <w:t>강사는 일정과 참가자를 등록하고, 수강생은 초대에 응답한다. 강사는 일정 상세에서 참여자별 동의서 상태와 교육 관련 정보를 확인한다. 수업을 마친 뒤에는 이수 항목과 디브리핑 메모를 남긴다. 다음 수업에서는 누적된 진도와 피드백을 참조한다. 이 흐름은 현재 프런트엔드 코드에 존재하는 화면과 API 연결을 기준으로 정리했다. 운영 환경에서의 전체 동작과 고객 이용 실적은 별도로 확인해야 한다.</w:t>
      </w:r>
    </w:p>
    <w:tbl>
      <w:tblPr>
        <w:tblW w:type="auto" w:w="0"/>
        <w:jc w:val="center"/>
        <w:tblLayout w:type="fixed"/>
        <w:tblLook w:firstColumn="1" w:firstRow="1" w:lastColumn="0" w:lastRow="0" w:noHBand="0" w:noVBand="1" w:val="04A0"/>
      </w:tblPr>
      <w:tblGrid>
        <w:gridCol w:w="1304"/>
        <w:gridCol w:w="4592"/>
        <w:gridCol w:w="3742"/>
      </w:tblGrid>
      <w:tr>
        <w:trPr>
          <w:cantSplit/>
          <w:tblHeader/>
        </w:trPr>
        <w:tc>
          <w:tcPr>
            <w:tcW w:type="dxa" w:w="130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DF2"/>
          </w:tcPr>
          <w:p>
            <w:pPr>
              <w:spacing w:after="40" w:line="276" w:lineRule="auto"/>
            </w:pPr>
            <w:r>
              <w:rPr>
                <w:b/>
                <w:sz w:val="18"/>
              </w:rPr>
              <w:t>업무 단계</w:t>
            </w:r>
          </w:p>
        </w:tc>
        <w:tc>
          <w:tcPr>
            <w:tcW w:type="dxa" w:w="45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DF2"/>
          </w:tcPr>
          <w:p>
            <w:pPr>
              <w:spacing w:after="40" w:line="276" w:lineRule="auto"/>
            </w:pPr>
            <w:r>
              <w:rPr>
                <w:b/>
                <w:sz w:val="18"/>
              </w:rPr>
              <w:t>확인한 기능</w:t>
            </w:r>
          </w:p>
        </w:tc>
        <w:tc>
          <w:tcPr>
            <w:tcW w:type="dxa" w:w="374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DF2"/>
          </w:tcPr>
          <w:p>
            <w:pPr>
              <w:spacing w:after="40" w:line="276" w:lineRule="auto"/>
            </w:pPr>
            <w:r>
              <w:rPr>
                <w:b/>
                <w:sz w:val="18"/>
              </w:rPr>
              <w:t>확인 범위</w:t>
            </w:r>
          </w:p>
        </w:tc>
      </w:tr>
      <w:tr>
        <w:trPr>
          <w:cantSplit/>
        </w:trPr>
        <w:tc>
          <w:tcPr>
            <w:tcW w:type="dxa" w:w="130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수업 구성</w:t>
            </w:r>
          </w:p>
        </w:tc>
        <w:tc>
          <w:tcPr>
            <w:tcW w:type="dxa" w:w="45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일정 작성·수정, 수업 유형과 참가자 설정</w:t>
            </w:r>
          </w:p>
        </w:tc>
        <w:tc>
          <w:tcPr>
            <w:tcW w:type="dxa" w:w="374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일정 편집 화면·API</w:t>
            </w:r>
          </w:p>
        </w:tc>
      </w:tr>
      <w:tr>
        <w:trPr>
          <w:cantSplit/>
        </w:trPr>
        <w:tc>
          <w:tcPr>
            <w:tcW w:type="dxa" w:w="130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참석 확인</w:t>
            </w:r>
          </w:p>
        </w:tc>
        <w:tc>
          <w:tcPr>
            <w:tcW w:type="dxa" w:w="45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초대 수락·거절, 알림 조회</w:t>
            </w:r>
          </w:p>
        </w:tc>
        <w:tc>
          <w:tcPr>
            <w:tcW w:type="dxa" w:w="374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초대 상태·알림 화면·API</w:t>
            </w:r>
          </w:p>
        </w:tc>
      </w:tr>
      <w:tr>
        <w:trPr>
          <w:cantSplit/>
        </w:trPr>
        <w:tc>
          <w:tcPr>
            <w:tcW w:type="dxa" w:w="130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서류 준비</w:t>
            </w:r>
          </w:p>
        </w:tc>
        <w:tc>
          <w:tcPr>
            <w:tcW w:type="dxa" w:w="45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면책동의서·의료진술서 서명 상태 표시와 문서 연결</w:t>
            </w:r>
          </w:p>
        </w:tc>
        <w:tc>
          <w:tcPr>
            <w:tcW w:type="dxa" w:w="374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일정 상세 화면·데이터 항목</w:t>
            </w:r>
          </w:p>
        </w:tc>
      </w:tr>
      <w:tr>
        <w:trPr>
          <w:cantSplit/>
        </w:trPr>
        <w:tc>
          <w:tcPr>
            <w:tcW w:type="dxa" w:w="130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교육 진행</w:t>
            </w:r>
          </w:p>
        </w:tc>
        <w:tc>
          <w:tcPr>
            <w:tcW w:type="dxa" w:w="45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교육 요구사항별 완료 상태 조회·변경</w:t>
            </w:r>
          </w:p>
        </w:tc>
        <w:tc>
          <w:tcPr>
            <w:tcW w:type="dxa" w:w="374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교육기록 화면·API</w:t>
            </w:r>
          </w:p>
        </w:tc>
      </w:tr>
      <w:tr>
        <w:trPr>
          <w:cantSplit/>
        </w:trPr>
        <w:tc>
          <w:tcPr>
            <w:tcW w:type="dxa" w:w="130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수업 마무리</w:t>
            </w:r>
          </w:p>
        </w:tc>
        <w:tc>
          <w:tcPr>
            <w:tcW w:type="dxa" w:w="45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디브리핑 메모 저장·이력 조회</w:t>
            </w:r>
          </w:p>
        </w:tc>
        <w:tc>
          <w:tcPr>
            <w:tcW w:type="dxa" w:w="374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디브리핑 화면·API</w:t>
            </w:r>
          </w:p>
        </w:tc>
      </w:tr>
      <w:tr>
        <w:trPr>
          <w:cantSplit/>
        </w:trPr>
        <w:tc>
          <w:tcPr>
            <w:tcW w:type="dxa" w:w="130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관계 관리</w:t>
            </w:r>
          </w:p>
        </w:tc>
        <w:tc>
          <w:tcPr>
            <w:tcW w:type="dxa" w:w="45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강사·교육생·친구 관리</w:t>
            </w:r>
          </w:p>
        </w:tc>
        <w:tc>
          <w:tcPr>
            <w:tcW w:type="dxa" w:w="374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관계 관리 화면</w:t>
            </w:r>
          </w:p>
        </w:tc>
      </w:tr>
    </w:tbl>
    <w:p/>
    <w:p>
      <w:pPr>
        <w:pStyle w:val="Heading2"/>
      </w:pPr>
      <w:r>
        <w:t>이용자가 얻을 가치와 측정 방법</w:t>
      </w:r>
    </w:p>
    <w:p>
      <w:r>
        <w:t>첫 번째 가치는 한 수업의 준비 상태를 한 곳에서 확인하는 편의다. 두 번째는 이전 교육내용을 다음 수업에 연결하는 연속성이다. 두 가치를 검증하기 위해 수업 준비에 걸리는 시간, 참여자 상태를 확인하기 위해 오가는 연락 횟수, 수업 후 기록 작성률을 측정한다. 아직 측정되지 않은 시간 절감률이나 안전사고 감소율을 성과로 기재하지 않는다.</w:t>
      </w:r>
    </w:p>
    <w:p>
      <w:pPr>
        <w:pStyle w:val="Heading2"/>
      </w:pPr>
      <w:r>
        <w:t>제출 전 제품 증거 보강</w:t>
      </w:r>
    </w:p>
    <w:p>
      <w:r>
        <w:t>[확인 필요] 실제 앱에서 개인정보를 가린 일정 상세 화면, 교육진도 화면, 디브리핑 화면을 확보한다. 화면에 나타나는 기능과 설명을 일치시키고, 개발용 화면은 개발용이라고 표기한다. 현재 초안에는 실제 화면으로 오인할 수 있는 합성 이미지를 넣지 않았다.</w:t>
      </w:r>
    </w:p>
    <w:p>
      <w:pPr>
        <w:pStyle w:val="Heading1"/>
        <w:pageBreakBefore/>
      </w:pPr>
      <w:r>
        <w:t>2 해결방안과 경쟁력</w:t>
      </w:r>
    </w:p>
    <w:p>
      <w:pPr>
        <w:pStyle w:val="Heading2"/>
      </w:pPr>
      <w:r>
        <w:t>기술 구현과 운영 준비</w:t>
      </w:r>
    </w:p>
    <w:p>
      <w:r>
        <w:t>앱은 Expo와 React Native 기반으로 구성되어 있으며, 일정·참가자·교육 요구사항·디브리핑을 서버 API로 연결한다. 일정 초대는 대기·수락·거절 등 상태를 구분하고, 사용자 역할과 참가 상태에 따라 화면에서 제공하는 작업을 나눈다. 프런트엔드의 권한 표시는 서버의 접근권한 검사를 대신하지 않으므로 서버 동작 검증은 출시 점검 항목으로 둔다.</w:t>
      </w:r>
    </w:p>
    <w:p>
      <w:r>
        <w:t>현재 확인한 기술적 기반은 업무 데이터를 연결하는 앱 구조다. AI 학습모델, 등록특허, 독점 기술 또는 의료적 효과가 확보되었다고 주장하지 않는다. 상용화 경쟁력은 기능 존재 자체보다 현장 사용성, 데이터의 연속성, 반복 이용과 유료전환 실적으로 입증할 계획이다.</w:t>
      </w:r>
    </w:p>
    <w:p>
      <w:pPr>
        <w:pStyle w:val="Heading2"/>
      </w:pPr>
      <w:r>
        <w:t>경쟁과 대체수단</w:t>
      </w:r>
    </w:p>
    <w:tbl>
      <w:tblPr>
        <w:tblW w:type="auto" w:w="0"/>
        <w:jc w:val="center"/>
        <w:tblLayout w:type="fixed"/>
        <w:tblLook w:firstColumn="1" w:firstRow="1" w:lastColumn="0" w:lastRow="0" w:noHBand="0" w:noVBand="1" w:val="04A0"/>
      </w:tblPr>
      <w:tblGrid>
        <w:gridCol w:w="1701"/>
        <w:gridCol w:w="3969"/>
        <w:gridCol w:w="3969"/>
      </w:tblGrid>
      <w:tr>
        <w:trPr>
          <w:cantSplit/>
          <w:tblHeader/>
        </w:trPr>
        <w:tc>
          <w:tcPr>
            <w:tcW w:type="dxa" w:w="170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DF2"/>
          </w:tcPr>
          <w:p>
            <w:pPr>
              <w:spacing w:after="40" w:line="276" w:lineRule="auto"/>
            </w:pPr>
            <w:r>
              <w:rPr>
                <w:b/>
                <w:sz w:val="18"/>
              </w:rPr>
              <w:t>대안</w:t>
            </w:r>
          </w:p>
        </w:tc>
        <w:tc>
          <w:tcPr>
            <w:tcW w:type="dxa" w:w="39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DF2"/>
          </w:tcPr>
          <w:p>
            <w:pPr>
              <w:spacing w:after="40" w:line="276" w:lineRule="auto"/>
            </w:pPr>
            <w:r>
              <w:rPr>
                <w:b/>
                <w:sz w:val="18"/>
              </w:rPr>
              <w:t>확인하거나 검증할 내용</w:t>
            </w:r>
          </w:p>
        </w:tc>
        <w:tc>
          <w:tcPr>
            <w:tcW w:type="dxa" w:w="39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DF2"/>
          </w:tcPr>
          <w:p>
            <w:pPr>
              <w:spacing w:after="40" w:line="276" w:lineRule="auto"/>
            </w:pPr>
            <w:r>
              <w:rPr>
                <w:b/>
                <w:sz w:val="18"/>
              </w:rPr>
              <w:t>AllBlue의 검증 방향</w:t>
            </w:r>
          </w:p>
        </w:tc>
      </w:tr>
      <w:tr>
        <w:trPr>
          <w:cantSplit/>
        </w:trPr>
        <w:tc>
          <w:tcPr>
            <w:tcW w:type="dxa" w:w="170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MySSI</w:t>
            </w:r>
          </w:p>
        </w:tc>
        <w:tc>
          <w:tcPr>
            <w:tcW w:type="dxa" w:w="39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공식 안내에 디지털 교육·자격증·로그북 기능 존재[2]</w:t>
            </w:r>
          </w:p>
        </w:tc>
        <w:tc>
          <w:tcPr>
            <w:tcW w:type="dxa" w:w="39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기록 기능만으로 차별화했다고 주장하지 않음</w:t>
            </w:r>
          </w:p>
        </w:tc>
      </w:tr>
      <w:tr>
        <w:trPr>
          <w:cantSplit/>
        </w:trPr>
        <w:tc>
          <w:tcPr>
            <w:tcW w:type="dxa" w:w="170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메신저·일정표·문서 조합</w:t>
            </w:r>
          </w:p>
        </w:tc>
        <w:tc>
          <w:tcPr>
            <w:tcW w:type="dxa" w:w="39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강사가 실제 어떤 조합을 쓰는지 인터뷰 필요</w:t>
            </w:r>
          </w:p>
        </w:tc>
        <w:tc>
          <w:tcPr>
            <w:tcW w:type="dxa" w:w="39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한 수업의 참석·서류·진도·피드백을 연결하는 편의 비교</w:t>
            </w:r>
          </w:p>
        </w:tc>
      </w:tr>
      <w:tr>
        <w:trPr>
          <w:cantSplit/>
        </w:trPr>
        <w:tc>
          <w:tcPr>
            <w:tcW w:type="dxa" w:w="170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AllBlue</w:t>
            </w:r>
          </w:p>
        </w:tc>
        <w:tc>
          <w:tcPr>
            <w:tcW w:type="dxa" w:w="39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관련 화면과 API 연결을 코드에서 확인</w:t>
            </w:r>
          </w:p>
        </w:tc>
        <w:tc>
          <w:tcPr>
            <w:tcW w:type="dxa" w:w="39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실제 사용성·반복 사용·비용 지불 의사 검증</w:t>
            </w:r>
          </w:p>
        </w:tc>
      </w:tr>
    </w:tbl>
    <w:p/>
    <w:p>
      <w:r>
        <w:t>MySSI에 특정 기능이 없다는 비교는 하지 않는다. 동일한 사용자 과업을 실제로 비교한 뒤 차별점을 확정한다. 교육기관의 공식 인증 발급이나 제휴 권한을 보유한 것으로 표현하지 않는다.</w:t>
      </w:r>
    </w:p>
    <w:p>
      <w:pPr>
        <w:pStyle w:val="Heading2"/>
      </w:pPr>
      <w:r>
        <w:t>고도화 우선순위</w:t>
      </w:r>
    </w:p>
    <w:p>
      <w:r>
        <w:t>첫째, 초대 응답부터 수업 후 기록까지 핵심 흐름을 실기기로 검증한다. 둘째, 강사·교육생 사이의 정보 접근 범위와 문서 조회 권한을 점검한다. 셋째, 실제 수업에서 반복 사용이 확인된 뒤 운영 지표와 유료 기능을 설계한다. 의료진술서 등 민감할 수 있는 정보의 수집 범위와 보관·삭제 절차는 전문가 검토를 받아 확정한다.</w:t>
      </w:r>
    </w:p>
    <w:p>
      <w:pPr>
        <w:pStyle w:val="Heading1"/>
        <w:pageBreakBefore/>
      </w:pPr>
      <w:r>
        <w:t>3 성장전략</w:t>
      </w:r>
    </w:p>
    <w:p>
      <w:pPr>
        <w:pStyle w:val="Heading2"/>
      </w:pPr>
      <w:r>
        <w:t>초기 고객 확보와 사업모델</w:t>
      </w:r>
    </w:p>
    <w:p>
      <w:r>
        <w:t>현재 강사와 수강생을 합한 실사용 규모는 5명 이내이며 운영 환경에서 테스트하고 있다. 유튜브 채널 먹보야 놀자와 협업 중이며, 해당 채널을 통한 홍보를 계획하고 있다. 수업 준비부터 교육기록까지 실제 사용 장면을 콘텐츠로 소개하고, 관심 강사가 교육과정에 도입하도록 유도한다. 채널의 구독자 수·예상 노출·계약 조건은 확인되지 않아 성과나 확정 유입으로 기재하지 않는다.</w:t>
      </w:r>
    </w:p>
    <w:p>
      <w:r>
        <w:t>과금 계획은 강사에게만 월 3,900원을 부과하고 최초 3개월은 무료로 제공하는 방식이다. 무료 기간에는 일정 생성 이후 교육기록까지 이어지는 반복 사용을 확인한다. 이용료 부과와 결제 기능의 실제 구현 상태는 별도 확인한다. 타 업체와의 광고 게시 등 비즈니스 활동을 추가 수익원으로 검토하되 광고 계약·단가·매출이 확보된 것으로 기재하지 않는다.</w:t>
      </w:r>
    </w:p>
    <w:p>
      <w:pPr>
        <w:pStyle w:val="Heading2"/>
      </w:pPr>
      <w:r>
        <w:t>구독 수익 구조와 검증 과제</w:t>
      </w:r>
    </w:p>
    <w:tbl>
      <w:tblPr>
        <w:tblW w:type="auto" w:w="0"/>
        <w:jc w:val="center"/>
        <w:tblLayout w:type="fixed"/>
        <w:tblLook w:firstColumn="1" w:firstRow="1" w:lastColumn="0" w:lastRow="0" w:noHBand="0" w:noVBand="1" w:val="04A0"/>
      </w:tblPr>
      <w:tblGrid>
        <w:gridCol w:w="3061"/>
        <w:gridCol w:w="3175"/>
        <w:gridCol w:w="3402"/>
      </w:tblGrid>
      <w:tr>
        <w:trPr>
          <w:cantSplit/>
          <w:tblHeader/>
        </w:trPr>
        <w:tc>
          <w:tcPr>
            <w:tcW w:type="dxa" w:w="306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DF2"/>
          </w:tcPr>
          <w:p>
            <w:pPr>
              <w:spacing w:after="40" w:line="276" w:lineRule="auto"/>
            </w:pPr>
            <w:r>
              <w:rPr>
                <w:b/>
                <w:sz w:val="18"/>
              </w:rPr>
              <w:t>유료 전환 강사 수 가정</w:t>
            </w:r>
          </w:p>
        </w:tc>
        <w:tc>
          <w:tcPr>
            <w:tcW w:type="dxa" w:w="317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DF2"/>
          </w:tcPr>
          <w:p>
            <w:pPr>
              <w:spacing w:after="40" w:line="276" w:lineRule="auto"/>
            </w:pPr>
            <w:r>
              <w:rPr>
                <w:b/>
                <w:sz w:val="18"/>
              </w:rPr>
              <w:t>유료 기간 월 결제액</w:t>
            </w:r>
          </w:p>
        </w:tc>
        <w:tc>
          <w:tcPr>
            <w:tcW w:type="dxa" w:w="34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DF2"/>
          </w:tcPr>
          <w:p>
            <w:pPr>
              <w:spacing w:after="40" w:line="276" w:lineRule="auto"/>
            </w:pPr>
            <w:r>
              <w:rPr>
                <w:b/>
                <w:sz w:val="18"/>
              </w:rPr>
              <w:t>가입 후 12개월 결제액</w:t>
            </w:r>
          </w:p>
        </w:tc>
      </w:tr>
      <w:tr>
        <w:trPr>
          <w:cantSplit/>
        </w:trPr>
        <w:tc>
          <w:tcPr>
            <w:tcW w:type="dxa" w:w="306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100명</w:t>
            </w:r>
          </w:p>
        </w:tc>
        <w:tc>
          <w:tcPr>
            <w:tcW w:type="dxa" w:w="317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390,000원</w:t>
            </w:r>
          </w:p>
        </w:tc>
        <w:tc>
          <w:tcPr>
            <w:tcW w:type="dxa" w:w="34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3,510,000원</w:t>
            </w:r>
          </w:p>
        </w:tc>
      </w:tr>
      <w:tr>
        <w:trPr>
          <w:cantSplit/>
        </w:trPr>
        <w:tc>
          <w:tcPr>
            <w:tcW w:type="dxa" w:w="306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300명</w:t>
            </w:r>
          </w:p>
        </w:tc>
        <w:tc>
          <w:tcPr>
            <w:tcW w:type="dxa" w:w="317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1,170,000원</w:t>
            </w:r>
          </w:p>
        </w:tc>
        <w:tc>
          <w:tcPr>
            <w:tcW w:type="dxa" w:w="34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10,530,000원</w:t>
            </w:r>
          </w:p>
        </w:tc>
      </w:tr>
      <w:tr>
        <w:trPr>
          <w:cantSplit/>
        </w:trPr>
        <w:tc>
          <w:tcPr>
            <w:tcW w:type="dxa" w:w="306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1,000명</w:t>
            </w:r>
          </w:p>
        </w:tc>
        <w:tc>
          <w:tcPr>
            <w:tcW w:type="dxa" w:w="317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3,900,000원</w:t>
            </w:r>
          </w:p>
        </w:tc>
        <w:tc>
          <w:tcPr>
            <w:tcW w:type="dxa" w:w="340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35,100,000원</w:t>
            </w:r>
          </w:p>
        </w:tc>
      </w:tr>
    </w:tbl>
    <w:p/>
    <w:p>
      <w:r>
        <w:t>위 표는 목표나 매출 예측이 아닌 가격 구조의 단순 계산이다. 전원이 무료 3개월 후 전환하고 이후 9개월간 해지하지 않는 가정이며, 부가세·결제 및 앱마켓 수수료·환불·운영비를 차감하지 않은 결제액이다. 실제 이용자 수 5명 이내와 위 가정치를 혼동하지 않는다. 광고 수입은 포함하지 않았다.</w:t>
      </w:r>
    </w:p>
    <w:p>
      <w:r>
        <w:t>낮은 이용료는 초기 도입 부담을 줄일 수 있지만 상당한 유료 강사 기반이 형성되기 전에는 구독 수입이 작다. 따라서 광고비 지출보다 협업 채널과 강사 추천 경로의 실제 전환을 먼저 측정하고, 고객지원·문서 보관·서버 비용을 반영해 고객당 손익을 검증한다.</w:t>
      </w:r>
    </w:p>
    <w:p>
      <w:pPr>
        <w:pStyle w:val="Heading2"/>
      </w:pPr>
      <w:r>
        <w:t>목표시장과 확장 방향</w:t>
      </w:r>
    </w:p>
    <w:p>
      <w:r>
        <w:t>1차 시장은 반복 교육을 운영하는 국내 프리다이빙 강사다. 국내 유효 강사 수에 대한 확인된 통계가 없어 전체 시장규모를 임의로 제시하지 않는다. 실제 접촉 가능한 강사 목록, 월간 교육 빈도와 유료 전환 의향을 바탕으로 목표 고객 수를 산정한다. 대표자와 협업 채널이 도달할 수 있는 고객 규모는 추가 확인이 필요하다.</w:t>
      </w:r>
    </w:p>
    <w:p>
      <w:r>
        <w:t>국내 반복 사용이 확인되면 다수 강사 교육업체의 공동 운영 수요와 해외 강사의 업무 적합성을 순차적으로 검토한다. 해외진출 실적이나 교육단체의 공식 제휴는 현재 사업 성과로 기재하지 않는다.</w:t>
      </w:r>
    </w:p>
    <w:p>
      <w:pPr>
        <w:pStyle w:val="Heading1"/>
        <w:pageBreakBefore/>
      </w:pPr>
      <w:r>
        <w:t>3 사업화 추진계획과 검증지표</w:t>
      </w:r>
    </w:p>
    <w:p>
      <w:pPr>
        <w:pStyle w:val="Heading2"/>
      </w:pPr>
      <w:r>
        <w:t>현재까지의 준비와 확인할 실적</w:t>
      </w:r>
    </w:p>
    <w:p>
      <w:r>
        <w:t>Google Play는 검토 중이며 App Store는 검토가 완료되었다. 운영 환경 테스트 단계로 실제 사용자는 강사·수강생 합계 5명 이내다. 일정·교육기록·문서 상태 조회 화면과 API 연결을 코드에서 확인했다. AllBlue 매출은 현재 없으며, 럼바우의 다른 프로젝트 매출과 구분한다. 사업자 전체 매출액과 정확한 사용자 구분은 추가 확인한다.</w:t>
      </w:r>
    </w:p>
    <w:tbl>
      <w:tblPr>
        <w:tblW w:type="auto" w:w="0"/>
        <w:jc w:val="center"/>
        <w:tblLayout w:type="fixed"/>
        <w:tblLook w:firstColumn="1" w:firstRow="1" w:lastColumn="0" w:lastRow="0" w:noHBand="0" w:noVBand="1" w:val="04A0"/>
      </w:tblPr>
      <w:tblGrid>
        <w:gridCol w:w="1587"/>
        <w:gridCol w:w="4819"/>
        <w:gridCol w:w="3231"/>
      </w:tblGrid>
      <w:tr>
        <w:trPr>
          <w:cantSplit/>
          <w:tblHeader/>
        </w:trPr>
        <w:tc>
          <w:tcPr>
            <w:tcW w:type="dxa" w:w="158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DF2"/>
          </w:tcPr>
          <w:p>
            <w:pPr>
              <w:spacing w:after="40" w:line="276" w:lineRule="auto"/>
            </w:pPr>
            <w:r>
              <w:rPr>
                <w:b/>
                <w:sz w:val="18"/>
              </w:rPr>
              <w:t>기간</w:t>
            </w:r>
          </w:p>
        </w:tc>
        <w:tc>
          <w:tcPr>
            <w:tcW w:type="dxa" w:w="481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DF2"/>
          </w:tcPr>
          <w:p>
            <w:pPr>
              <w:spacing w:after="40" w:line="276" w:lineRule="auto"/>
            </w:pPr>
            <w:r>
              <w:rPr>
                <w:b/>
                <w:sz w:val="18"/>
              </w:rPr>
              <w:t>실행 계획안</w:t>
            </w:r>
          </w:p>
        </w:tc>
        <w:tc>
          <w:tcPr>
            <w:tcW w:type="dxa" w:w="323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DF2"/>
          </w:tcPr>
          <w:p>
            <w:pPr>
              <w:spacing w:after="40" w:line="276" w:lineRule="auto"/>
            </w:pPr>
            <w:r>
              <w:rPr>
                <w:b/>
                <w:sz w:val="18"/>
              </w:rPr>
              <w:t>결과물</w:t>
            </w:r>
          </w:p>
        </w:tc>
      </w:tr>
      <w:tr>
        <w:trPr>
          <w:cantSplit/>
        </w:trPr>
        <w:tc>
          <w:tcPr>
            <w:tcW w:type="dxa" w:w="158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출시 초기</w:t>
            </w:r>
          </w:p>
        </w:tc>
        <w:tc>
          <w:tcPr>
            <w:tcW w:type="dxa" w:w="481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마켓 공개 상태 확인, 운영 환경 점검, 협업 채널 소개 준비</w:t>
            </w:r>
          </w:p>
        </w:tc>
        <w:tc>
          <w:tcPr>
            <w:tcW w:type="dxa" w:w="323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공개 링크, 실제 사용 화면, 기능 점검표</w:t>
            </w:r>
          </w:p>
        </w:tc>
      </w:tr>
      <w:tr>
        <w:trPr>
          <w:cantSplit/>
        </w:trPr>
        <w:tc>
          <w:tcPr>
            <w:tcW w:type="dxa" w:w="158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사용자별 1~3개월</w:t>
            </w:r>
          </w:p>
        </w:tc>
        <w:tc>
          <w:tcPr>
            <w:tcW w:type="dxa" w:w="481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무료 체험 중 교육과정 적용, 반복 사용과 개선 요구 수집</w:t>
            </w:r>
          </w:p>
        </w:tc>
        <w:tc>
          <w:tcPr>
            <w:tcW w:type="dxa" w:w="323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사용 이력, 재사용 지표, 개선 우선순위</w:t>
            </w:r>
          </w:p>
        </w:tc>
      </w:tr>
      <w:tr>
        <w:trPr>
          <w:cantSplit/>
        </w:trPr>
        <w:tc>
          <w:tcPr>
            <w:tcW w:type="dxa" w:w="158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사용자별 4개월부터</w:t>
            </w:r>
          </w:p>
        </w:tc>
        <w:tc>
          <w:tcPr>
            <w:tcW w:type="dxa" w:w="481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무료 체험 종료 후 실제 유료전환과 이탈 원인 측정</w:t>
            </w:r>
          </w:p>
        </w:tc>
        <w:tc>
          <w:tcPr>
            <w:tcW w:type="dxa" w:w="323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결제 전환·해지·지원 비용, 가격 유지 여부</w:t>
            </w:r>
          </w:p>
        </w:tc>
      </w:tr>
    </w:tbl>
    <w:p/>
    <w:p>
      <w:r>
        <w:t>위 일정은 대표자 검토 전 계획안이다. 실제 고객 모집 상황과 개발·운영 가능 시간에 맞춰 확정한다. 경진대회의 멘토링과 데모데이 참여 일정도 함께 반영해야 한다.</w:t>
      </w:r>
    </w:p>
    <w:p>
      <w:pPr>
        <w:pStyle w:val="Heading2"/>
      </w:pPr>
      <w:r>
        <w:t>검증할 지표</w:t>
      </w:r>
    </w:p>
    <w:tbl>
      <w:tblPr>
        <w:tblW w:type="auto" w:w="0"/>
        <w:jc w:val="center"/>
        <w:tblLayout w:type="fixed"/>
        <w:tblLook w:firstColumn="1" w:firstRow="1" w:lastColumn="0" w:lastRow="0" w:noHBand="0" w:noVBand="1" w:val="04A0"/>
      </w:tblPr>
      <w:tblGrid>
        <w:gridCol w:w="1814"/>
        <w:gridCol w:w="5896"/>
        <w:gridCol w:w="1928"/>
      </w:tblGrid>
      <w:tr>
        <w:trPr>
          <w:cantSplit/>
          <w:tblHeader/>
        </w:trPr>
        <w:tc>
          <w:tcPr>
            <w:tcW w:type="dxa" w:w="181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DF2"/>
          </w:tcPr>
          <w:p>
            <w:pPr>
              <w:spacing w:after="40" w:line="276" w:lineRule="auto"/>
            </w:pPr>
            <w:r>
              <w:rPr>
                <w:b/>
                <w:sz w:val="18"/>
              </w:rPr>
              <w:t>지표</w:t>
            </w:r>
          </w:p>
        </w:tc>
        <w:tc>
          <w:tcPr>
            <w:tcW w:type="dxa" w:w="58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DF2"/>
          </w:tcPr>
          <w:p>
            <w:pPr>
              <w:spacing w:after="40" w:line="276" w:lineRule="auto"/>
            </w:pPr>
            <w:r>
              <w:rPr>
                <w:b/>
                <w:sz w:val="18"/>
              </w:rPr>
              <w:t>산정 기준</w:t>
            </w:r>
          </w:p>
        </w:tc>
        <w:tc>
          <w:tcPr>
            <w:tcW w:type="dxa" w:w="19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DF2"/>
          </w:tcPr>
          <w:p>
            <w:pPr>
              <w:spacing w:after="40" w:line="276" w:lineRule="auto"/>
            </w:pPr>
            <w:r>
              <w:rPr>
                <w:b/>
                <w:sz w:val="18"/>
              </w:rPr>
              <w:t>현재 값</w:t>
            </w:r>
          </w:p>
        </w:tc>
      </w:tr>
      <w:tr>
        <w:trPr>
          <w:cantSplit/>
        </w:trPr>
        <w:tc>
          <w:tcPr>
            <w:tcW w:type="dxa" w:w="181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전체 실사용자</w:t>
            </w:r>
          </w:p>
        </w:tc>
        <w:tc>
          <w:tcPr>
            <w:tcW w:type="dxa" w:w="58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강사·수강생 합계, 정확한 구분은 추가 확인</w:t>
            </w:r>
          </w:p>
        </w:tc>
        <w:tc>
          <w:tcPr>
            <w:tcW w:type="dxa" w:w="19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5명 이내</w:t>
            </w:r>
          </w:p>
        </w:tc>
      </w:tr>
      <w:tr>
        <w:trPr>
          <w:cantSplit/>
        </w:trPr>
        <w:tc>
          <w:tcPr>
            <w:tcW w:type="dxa" w:w="181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활성 강사</w:t>
            </w:r>
          </w:p>
        </w:tc>
        <w:tc>
          <w:tcPr>
            <w:tcW w:type="dxa" w:w="58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기간 내 수업을 생성하고 운영한 고유 강사 수</w:t>
            </w:r>
          </w:p>
        </w:tc>
        <w:tc>
          <w:tcPr>
            <w:tcW w:type="dxa" w:w="19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구분 확인 필요</w:t>
            </w:r>
          </w:p>
        </w:tc>
      </w:tr>
      <w:tr>
        <w:trPr>
          <w:cantSplit/>
        </w:trPr>
        <w:tc>
          <w:tcPr>
            <w:tcW w:type="dxa" w:w="181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수업 후 기록률</w:t>
            </w:r>
          </w:p>
        </w:tc>
        <w:tc>
          <w:tcPr>
            <w:tcW w:type="dxa" w:w="58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디브리핑 기록이 남은 완료 수업 / 완료 수업</w:t>
            </w:r>
          </w:p>
        </w:tc>
        <w:tc>
          <w:tcPr>
            <w:tcW w:type="dxa" w:w="19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확인 필요</w:t>
            </w:r>
          </w:p>
        </w:tc>
      </w:tr>
      <w:tr>
        <w:trPr>
          <w:cantSplit/>
        </w:trPr>
        <w:tc>
          <w:tcPr>
            <w:tcW w:type="dxa" w:w="181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반복 이용</w:t>
            </w:r>
          </w:p>
        </w:tc>
        <w:tc>
          <w:tcPr>
            <w:tcW w:type="dxa" w:w="58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첫 수업 이후 다시 수업을 운영한 강사 비율</w:t>
            </w:r>
          </w:p>
        </w:tc>
        <w:tc>
          <w:tcPr>
            <w:tcW w:type="dxa" w:w="19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확인 필요</w:t>
            </w:r>
          </w:p>
        </w:tc>
      </w:tr>
      <w:tr>
        <w:trPr>
          <w:cantSplit/>
        </w:trPr>
        <w:tc>
          <w:tcPr>
            <w:tcW w:type="dxa" w:w="181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업무시간 변화</w:t>
            </w:r>
          </w:p>
        </w:tc>
        <w:tc>
          <w:tcPr>
            <w:tcW w:type="dxa" w:w="58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동일 업무의 도입 전후 소요시간 비교</w:t>
            </w:r>
          </w:p>
        </w:tc>
        <w:tc>
          <w:tcPr>
            <w:tcW w:type="dxa" w:w="19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측정 전</w:t>
            </w:r>
          </w:p>
        </w:tc>
      </w:tr>
      <w:tr>
        <w:trPr>
          <w:cantSplit/>
        </w:trPr>
        <w:tc>
          <w:tcPr>
            <w:tcW w:type="dxa" w:w="181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유료전환</w:t>
            </w:r>
          </w:p>
        </w:tc>
        <w:tc>
          <w:tcPr>
            <w:tcW w:type="dxa" w:w="58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유료 제안 대상 중 실제 결제한 고객 비율</w:t>
            </w:r>
          </w:p>
        </w:tc>
        <w:tc>
          <w:tcPr>
            <w:tcW w:type="dxa" w:w="19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확인 필요</w:t>
            </w:r>
          </w:p>
        </w:tc>
      </w:tr>
    </w:tbl>
    <w:p/>
    <w:p>
      <w:pPr>
        <w:pStyle w:val="Heading2"/>
      </w:pPr>
      <w:r>
        <w:t>실행 위험과 대응</w:t>
      </w:r>
    </w:p>
    <w:p>
      <w:r>
        <w:t>반복 사용이 낮으면 유료화보다 도입 과정과 필수 기능을 먼저 개선한다. 지원금이나 상금을 전제로 고정비를 늘리지 않는다. 상금은 입상 결과에 따라 달라지며 확보된 자금으로 표시하지 않는다. 운영비·고객지원·문서 저장 비용을 확인한 뒤 사업 유지에 필요한 비용을 산정한다.</w:t>
      </w:r>
    </w:p>
    <w:p>
      <w:pPr>
        <w:pStyle w:val="Heading1"/>
        <w:pageBreakBefore/>
      </w:pPr>
      <w:r>
        <w:t>4 팀 구성과 기타 사항</w:t>
      </w:r>
    </w:p>
    <w:p>
      <w:pPr>
        <w:pStyle w:val="Heading2"/>
      </w:pPr>
      <w:r>
        <w:t>대표자와 참여인력</w:t>
      </w:r>
    </w:p>
    <w:p>
      <w:r>
        <w:t>럼바우는 2025년 4월 7일 개업한 서울 구로구 소재 개인사업자이며, 업태·종목은 정보통신업·컴퓨터 프로그래밍 서비스업이다. 대표자 남상현은 개발 14년차이며 프리다이빙 3년차로 AIDA Level 2 자격을 보유하고 있다. 동업자는 AIDA Instructor 자격을 보유한다. 아래 경력과 자격은 대표자 제공 정보이며 제출 전 증빙을 대조한다.</w:t>
      </w:r>
    </w:p>
    <w:p>
      <w:r>
        <w:t>내부 운영 인력은 대표자 1인이며 유튜브 먹보야 놀자와 외부 협업하고 있다. 대표자의 개발 경험과 프리다이빙 경험, 강사 자격을 가진 협업자의 전문성을 제품과 현장 검증에 연결할 수 있다는 점이 팀의 강점이다. 협업자를 직원 수에 포함하거나 공동대표로 기재하지 않는다. 담당 업무와 참여 범위는 확인 후 확정한다.</w:t>
      </w:r>
    </w:p>
    <w:tbl>
      <w:tblPr>
        <w:tblW w:type="auto" w:w="0"/>
        <w:jc w:val="center"/>
        <w:tblLayout w:type="fixed"/>
        <w:tblLook w:firstColumn="1" w:firstRow="1" w:lastColumn="0" w:lastRow="0" w:noHBand="0" w:noVBand="1" w:val="04A0"/>
      </w:tblPr>
      <w:tblGrid>
        <w:gridCol w:w="2438"/>
        <w:gridCol w:w="7200"/>
      </w:tblGrid>
      <w:tr>
        <w:trPr>
          <w:cantSplit/>
          <w:tblHeader/>
        </w:trPr>
        <w:tc>
          <w:tcPr>
            <w:tcW w:type="dxa" w:w="243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DF2"/>
          </w:tcPr>
          <w:p>
            <w:pPr>
              <w:spacing w:after="40" w:line="276" w:lineRule="auto"/>
            </w:pPr>
            <w:r>
              <w:rPr>
                <w:b/>
                <w:sz w:val="18"/>
              </w:rPr>
              <w:t>항목</w:t>
            </w:r>
          </w:p>
        </w:tc>
        <w:tc>
          <w:tcPr>
            <w:tcW w:type="dxa" w:w="72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DF2"/>
          </w:tcPr>
          <w:p>
            <w:pPr>
              <w:spacing w:after="40" w:line="276" w:lineRule="auto"/>
            </w:pPr>
            <w:r>
              <w:rPr>
                <w:b/>
                <w:sz w:val="18"/>
              </w:rPr>
              <w:t>작성할 내용</w:t>
            </w:r>
          </w:p>
        </w:tc>
      </w:tr>
      <w:tr>
        <w:trPr>
          <w:cantSplit/>
        </w:trPr>
        <w:tc>
          <w:tcPr>
            <w:tcW w:type="dxa" w:w="243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사업자 상호·대표자</w:t>
            </w:r>
          </w:p>
        </w:tc>
        <w:tc>
          <w:tcPr>
            <w:tcW w:type="dxa" w:w="72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럼바우 / 남상현 · 사업자등록증명 기재내용 확인</w:t>
            </w:r>
          </w:p>
        </w:tc>
      </w:tr>
      <w:tr>
        <w:trPr>
          <w:cantSplit/>
        </w:trPr>
        <w:tc>
          <w:tcPr>
            <w:tcW w:type="dxa" w:w="243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개발 전문성</w:t>
            </w:r>
          </w:p>
        </w:tc>
        <w:tc>
          <w:tcPr>
            <w:tcW w:type="dxa" w:w="72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개발 14년차. 세부 경력 연도·대표 프로젝트·담당 역할 추가 확인</w:t>
            </w:r>
          </w:p>
        </w:tc>
      </w:tr>
      <w:tr>
        <w:trPr>
          <w:cantSplit/>
        </w:trPr>
        <w:tc>
          <w:tcPr>
            <w:tcW w:type="dxa" w:w="243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프리다이빙 전문성</w:t>
            </w:r>
          </w:p>
        </w:tc>
        <w:tc>
          <w:tcPr>
            <w:tcW w:type="dxa" w:w="72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프리다이빙 3년차, AIDA Level 2. 자격증과 현장 사례 확인</w:t>
            </w:r>
          </w:p>
        </w:tc>
      </w:tr>
      <w:tr>
        <w:trPr>
          <w:cantSplit/>
        </w:trPr>
        <w:tc>
          <w:tcPr>
            <w:tcW w:type="dxa" w:w="243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참여인력</w:t>
            </w:r>
          </w:p>
        </w:tc>
        <w:tc>
          <w:tcPr>
            <w:tcW w:type="dxa" w:w="72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내부 인력 대표자 1인. AIDA Instructor 동업자와 협업 범위 확인</w:t>
            </w:r>
          </w:p>
        </w:tc>
      </w:tr>
      <w:tr>
        <w:trPr>
          <w:cantSplit/>
        </w:trPr>
        <w:tc>
          <w:tcPr>
            <w:tcW w:type="dxa" w:w="243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외부 협력</w:t>
            </w:r>
          </w:p>
        </w:tc>
        <w:tc>
          <w:tcPr>
            <w:tcW w:type="dxa" w:w="72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유튜브 먹보야 놀자와 협업 중, 채널 홍보 예정. 링크·역할 확인</w:t>
            </w:r>
          </w:p>
        </w:tc>
      </w:tr>
    </w:tbl>
    <w:p/>
    <w:p>
      <w:pPr>
        <w:pStyle w:val="Heading2"/>
      </w:pPr>
      <w:r>
        <w:t>5 기타 사항</w:t>
      </w:r>
    </w:p>
    <w:tbl>
      <w:tblPr>
        <w:tblW w:type="auto" w:w="0"/>
        <w:jc w:val="center"/>
        <w:tblLayout w:type="fixed"/>
        <w:tblLook w:firstColumn="1" w:firstRow="1" w:lastColumn="0" w:lastRow="0" w:noHBand="0" w:noVBand="1" w:val="04A0"/>
      </w:tblPr>
      <w:tblGrid>
        <w:gridCol w:w="2438"/>
        <w:gridCol w:w="7200"/>
      </w:tblGrid>
      <w:tr>
        <w:trPr>
          <w:cantSplit/>
          <w:tblHeader/>
        </w:trPr>
        <w:tc>
          <w:tcPr>
            <w:tcW w:type="dxa" w:w="243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DF2"/>
          </w:tcPr>
          <w:p>
            <w:pPr>
              <w:spacing w:after="40" w:line="276" w:lineRule="auto"/>
            </w:pPr>
            <w:r>
              <w:rPr>
                <w:b/>
                <w:sz w:val="18"/>
              </w:rPr>
              <w:t>구분</w:t>
            </w:r>
          </w:p>
        </w:tc>
        <w:tc>
          <w:tcPr>
            <w:tcW w:type="dxa" w:w="72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DF2"/>
          </w:tcPr>
          <w:p>
            <w:pPr>
              <w:spacing w:after="40" w:line="276" w:lineRule="auto"/>
            </w:pPr>
            <w:r>
              <w:rPr>
                <w:b/>
                <w:sz w:val="18"/>
              </w:rPr>
              <w:t>현재 기재 상태</w:t>
            </w:r>
          </w:p>
        </w:tc>
      </w:tr>
      <w:tr>
        <w:trPr>
          <w:cantSplit/>
        </w:trPr>
        <w:tc>
          <w:tcPr>
            <w:tcW w:type="dxa" w:w="243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지식재산권 등록</w:t>
            </w:r>
          </w:p>
        </w:tc>
        <w:tc>
          <w:tcPr>
            <w:tcW w:type="dxa" w:w="72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미확인. 등록 완료한 권리만 확인 후 기재</w:t>
            </w:r>
          </w:p>
        </w:tc>
      </w:tr>
      <w:tr>
        <w:trPr>
          <w:cantSplit/>
        </w:trPr>
        <w:tc>
          <w:tcPr>
            <w:tcW w:type="dxa" w:w="243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수상경력</w:t>
            </w:r>
          </w:p>
        </w:tc>
        <w:tc>
          <w:tcPr>
            <w:tcW w:type="dxa" w:w="72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없음 · 대표자 확인</w:t>
            </w:r>
          </w:p>
        </w:tc>
      </w:tr>
      <w:tr>
        <w:trPr>
          <w:cantSplit/>
        </w:trPr>
        <w:tc>
          <w:tcPr>
            <w:tcW w:type="dxa" w:w="243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정부지원사업 수행</w:t>
            </w:r>
          </w:p>
        </w:tc>
        <w:tc>
          <w:tcPr>
            <w:tcW w:type="dxa" w:w="72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없음 · 대표자 확인</w:t>
            </w:r>
          </w:p>
        </w:tc>
      </w:tr>
      <w:tr>
        <w:trPr>
          <w:cantSplit/>
        </w:trPr>
        <w:tc>
          <w:tcPr>
            <w:tcW w:type="dxa" w:w="243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투자유치</w:t>
            </w:r>
          </w:p>
        </w:tc>
        <w:tc>
          <w:tcPr>
            <w:tcW w:type="dxa" w:w="72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없음 · 대표자 확인</w:t>
            </w:r>
          </w:p>
        </w:tc>
      </w:tr>
      <w:tr>
        <w:trPr>
          <w:cantSplit/>
        </w:trPr>
        <w:tc>
          <w:tcPr>
            <w:tcW w:type="dxa" w:w="243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제1~9회 G밸리 수상 여부</w:t>
            </w:r>
          </w:p>
        </w:tc>
        <w:tc>
          <w:tcPr>
            <w:tcW w:type="dxa" w:w="72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수상 이력 없음 · 대표자 확인</w:t>
            </w:r>
          </w:p>
        </w:tc>
      </w:tr>
    </w:tbl>
    <w:p/>
    <w:p>
      <w:pPr>
        <w:pStyle w:val="Heading1"/>
        <w:pageBreakBefore/>
      </w:pPr>
      <w:r>
        <w:t>작성 근거와 제출 준비</w:t>
      </w:r>
    </w:p>
    <w:p>
      <w:pPr>
        <w:pStyle w:val="Heading2"/>
      </w:pPr>
      <w:r>
        <w:t>참고자료와 근거의 범위</w:t>
      </w:r>
    </w:p>
    <w:p>
      <w:r>
        <w:t>[1] PADI, Freediving Program Information. 프리다이빙 교육과정 소개. https://www.padi.com/education/freediving (2026년 10월 7일 확인)</w:t>
      </w:r>
    </w:p>
    <w:p>
      <w:r>
        <w:t>[2] SSI, MySSI App. 디지털 교육·자격증·로그북 기능 소개. https://www.divessi.com/en/join-ssi/register-free/myssi-app (2026년 10월 7일 확인)</w:t>
      </w:r>
    </w:p>
    <w:p>
      <w:r>
        <w:t>제품 근거는 2026년 10월 7일 확인한 AllBlue 저장소의 README, 일정 편집·상세 화면, 디브리핑·교육기록 화면과 API 정의다. 코드 존재는 확인했으나 이번 작업에서 실서비스를 실행하거나 성능·보안·사용성과를 검증하지 않았다.</w:t>
      </w:r>
    </w:p>
    <w:p>
      <w:r>
        <w:t>제출 전 점검  |  미확인 항목 보완, 대표자 경력·성과 증빙 대조, 실제 제품 화면 추가, 계획안 승인, 원본 서식 반영과 최종 PDF 검수가 필요하다. 검토용 안내와 미확인 표시를 남긴 채 제출하지 않는다.</w:t>
      </w:r>
    </w:p>
    <w:p>
      <w:pPr>
        <w:pStyle w:val="Heading2"/>
      </w:pPr>
      <w:r>
        <w:t>최종 제출본에 필요한 자료</w:t>
      </w:r>
    </w:p>
    <w:tbl>
      <w:tblPr>
        <w:tblW w:type="auto" w:w="0"/>
        <w:jc w:val="center"/>
        <w:tblLayout w:type="fixed"/>
        <w:tblLook w:firstColumn="1" w:firstRow="1" w:lastColumn="0" w:lastRow="0" w:noHBand="0" w:noVBand="1" w:val="04A0"/>
      </w:tblPr>
      <w:tblGrid>
        <w:gridCol w:w="2438"/>
        <w:gridCol w:w="7200"/>
      </w:tblGrid>
      <w:tr>
        <w:trPr>
          <w:cantSplit/>
          <w:tblHeader/>
        </w:trPr>
        <w:tc>
          <w:tcPr>
            <w:tcW w:type="dxa" w:w="243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DF2"/>
          </w:tcPr>
          <w:p>
            <w:pPr>
              <w:spacing w:after="40" w:line="276" w:lineRule="auto"/>
            </w:pPr>
            <w:r>
              <w:rPr>
                <w:b/>
                <w:sz w:val="18"/>
              </w:rPr>
              <w:t>구분</w:t>
            </w:r>
          </w:p>
        </w:tc>
        <w:tc>
          <w:tcPr>
            <w:tcW w:type="dxa" w:w="72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DF2"/>
          </w:tcPr>
          <w:p>
            <w:pPr>
              <w:spacing w:after="40" w:line="276" w:lineRule="auto"/>
            </w:pPr>
            <w:r>
              <w:rPr>
                <w:b/>
                <w:sz w:val="18"/>
              </w:rPr>
              <w:t>준비할 자료</w:t>
            </w:r>
          </w:p>
        </w:tc>
      </w:tr>
      <w:tr>
        <w:trPr>
          <w:cantSplit/>
        </w:trPr>
        <w:tc>
          <w:tcPr>
            <w:tcW w:type="dxa" w:w="243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사업자 확인</w:t>
            </w:r>
          </w:p>
        </w:tc>
        <w:tc>
          <w:tcPr>
            <w:tcW w:type="dxa" w:w="72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사업자등록증명과 인적사항 확보. 공고 첨부명인 사업자등록증과의 대체 인정 여부 확인</w:t>
            </w:r>
          </w:p>
        </w:tc>
      </w:tr>
      <w:tr>
        <w:trPr>
          <w:cantSplit/>
        </w:trPr>
        <w:tc>
          <w:tcPr>
            <w:tcW w:type="dxa" w:w="243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재무 증빙</w:t>
            </w:r>
          </w:p>
        </w:tc>
        <w:tc>
          <w:tcPr>
            <w:tcW w:type="dxa" w:w="72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2025년 신고는 세무사에게 위임. 제출 재무제표·증명 발급 여부 확인 후 미작성 시 대체 증빙 인정 여부 확인</w:t>
            </w:r>
          </w:p>
        </w:tc>
      </w:tr>
      <w:tr>
        <w:trPr>
          <w:cantSplit/>
        </w:trPr>
        <w:tc>
          <w:tcPr>
            <w:tcW w:type="dxa" w:w="243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제품 증거</w:t>
            </w:r>
          </w:p>
        </w:tc>
        <w:tc>
          <w:tcPr>
            <w:tcW w:type="dxa" w:w="72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개인정보를 가린 실제 앱 화면, 공개된 경우 앱마켓 링크</w:t>
            </w:r>
          </w:p>
        </w:tc>
      </w:tr>
      <w:tr>
        <w:trPr>
          <w:cantSplit/>
        </w:trPr>
        <w:tc>
          <w:tcPr>
            <w:tcW w:type="dxa" w:w="243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팀 증거</w:t>
            </w:r>
          </w:p>
        </w:tc>
        <w:tc>
          <w:tcPr>
            <w:tcW w:type="dxa" w:w="72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대표 개발 프로젝트·담당 역할, 자격 증빙, 협업 채널 링크</w:t>
            </w:r>
          </w:p>
        </w:tc>
      </w:tr>
      <w:tr>
        <w:trPr>
          <w:cantSplit/>
        </w:trPr>
        <w:tc>
          <w:tcPr>
            <w:tcW w:type="dxa" w:w="243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서명 서류</w:t>
            </w:r>
          </w:p>
        </w:tc>
        <w:tc>
          <w:tcPr>
            <w:tcW w:type="dxa" w:w="72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76" w:lineRule="auto"/>
            </w:pPr>
            <w:r>
              <w:rPr>
                <w:b w:val="0"/>
                <w:sz w:val="18"/>
              </w:rPr>
              <w:t>원본 개인정보 동의서와 서약서의 내용 확인 및 대표자 서명</w:t>
            </w:r>
          </w:p>
        </w:tc>
      </w:tr>
    </w:tbl>
    <w:p/>
    <w:p>
      <w:r>
        <w:t>이 페이지는 초안 검토를 위한 부록이다. 최종 제출 시 검토 안내를 제외하고 공고와 접수 화면의 파일 구성에 맞춰 정리한다.</w:t>
      </w:r>
    </w:p>
    <w:sectPr w:rsidR="00FC693F" w:rsidRPr="0006063C" w:rsidSect="00034616">
      <w:headerReference w:type="default" r:id="rId9"/>
      <w:footerReference w:type="default" r:id="rId10"/>
      <w:pgSz w:w="11906" w:h="16838"/>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2026년 10월 7일 작성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AllBlue  |  G밸리 창업경진대회  |  검토용 초안 · 제출 금지</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SUIT" w:hAnsi="SUIT" w:eastAsia="SUIT" w:cs="SUIT"/>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SUIT" w:hAnsi="SUIT" w:eastAsia="SUIT" w:cs="SUIT"/>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SUIT" w:hAnsi="SUIT" w:eastAsia="SUIT" w:cs="SUIT"/>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300" w:lineRule="auto"/>
      <w:outlineLvl w:val="0"/>
    </w:pPr>
    <w:rPr>
      <w:rFonts w:ascii="SUIT" w:hAnsi="SUIT" w:eastAsia="SUIT" w:cs="SUIT"/>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line="300" w:lineRule="auto"/>
      <w:outlineLvl w:val="1"/>
    </w:pPr>
    <w:rPr>
      <w:rFonts w:ascii="SUIT" w:hAnsi="SUIT" w:eastAsia="SUIT" w:cs="SUIT"/>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line="300" w:lineRule="auto"/>
      <w:outlineLvl w:val="2"/>
    </w:pPr>
    <w:rPr>
      <w:rFonts w:ascii="SUIT" w:hAnsi="SUIT" w:eastAsia="SUIT" w:cs="SUIT"/>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SUIT" w:hAnsi="SUIT" w:eastAsia="SUIT" w:cs="SUIT"/>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SUIT" w:hAnsi="SUIT" w:eastAsia="SUIT" w:cs="SUIT"/>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SUIT" w:hAnsi="SUIT" w:eastAsia="SUIT" w:cs="SUIT"/>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SUIT" w:hAnsi="SUIT" w:eastAsia="SUIT" w:cs="SUIT"/>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SUIT" w:hAnsi="SUIT" w:eastAsia="SUIT" w:cs="SUIT"/>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SUIT" w:hAnsi="SUIT" w:eastAsia="SUIT" w:cs="SUIT"/>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SUIT" w:hAnsi="SUIT" w:eastAsia="SUIT" w:cs="SUIT"/>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300" w:lineRule="auto"/>
      <w:contextualSpacing/>
    </w:pPr>
    <w:rPr>
      <w:rFonts w:ascii="SUIT" w:hAnsi="SUIT" w:eastAsia="SUIT" w:cs="SUIT"/>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SUIT" w:hAnsi="SUIT" w:eastAsia="SUIT" w:cs="SUIT"/>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SUIT" w:hAnsi="SUIT" w:eastAsia="SUIT" w:cs="SUIT"/>
    </w:rPr>
  </w:style>
  <w:style w:type="paragraph" w:styleId="BodyText">
    <w:name w:val="Body Text"/>
    <w:basedOn w:val="Normal"/>
    <w:link w:val="BodyTextChar"/>
    <w:uiPriority w:val="99"/>
    <w:unhideWhenUsed/>
    <w:rsid w:val="00AA1D8D"/>
    <w:pPr>
      <w:spacing w:after="120"/>
    </w:pPr>
    <w:rPr>
      <w:rFonts w:ascii="SUIT" w:hAnsi="SUIT" w:eastAsia="SUIT" w:cs="SUIT"/>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SUIT" w:hAnsi="SUIT" w:eastAsia="SUIT" w:cs="SUIT"/>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SUIT" w:hAnsi="SUIT" w:eastAsia="SUIT" w:cs="SUIT"/>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SUIT" w:hAnsi="SUIT" w:eastAsia="SUIT" w:cs="SUIT"/>
    </w:rPr>
  </w:style>
  <w:style w:type="paragraph" w:styleId="List2">
    <w:name w:val="List 2"/>
    <w:basedOn w:val="Normal"/>
    <w:uiPriority w:val="99"/>
    <w:unhideWhenUsed/>
    <w:rsid w:val="00326F90"/>
    <w:pPr>
      <w:ind w:left="720" w:hanging="360"/>
      <w:contextualSpacing/>
    </w:pPr>
    <w:rPr>
      <w:rFonts w:ascii="SUIT" w:hAnsi="SUIT" w:eastAsia="SUIT" w:cs="SUIT"/>
    </w:rPr>
  </w:style>
  <w:style w:type="paragraph" w:styleId="List3">
    <w:name w:val="List 3"/>
    <w:basedOn w:val="Normal"/>
    <w:uiPriority w:val="99"/>
    <w:unhideWhenUsed/>
    <w:rsid w:val="00326F90"/>
    <w:pPr>
      <w:ind w:left="1080" w:hanging="360"/>
      <w:contextualSpacing/>
    </w:pPr>
    <w:rPr>
      <w:rFonts w:ascii="SUIT" w:hAnsi="SUIT" w:eastAsia="SUIT" w:cs="SUIT"/>
    </w:rPr>
  </w:style>
  <w:style w:type="paragraph" w:styleId="ListBullet">
    <w:name w:val="List Bullet"/>
    <w:basedOn w:val="Normal"/>
    <w:uiPriority w:val="99"/>
    <w:unhideWhenUsed/>
    <w:rsid w:val="00326F90"/>
    <w:pPr>
      <w:numPr>
        <w:numId w:val="1"/>
      </w:numPr>
      <w:contextualSpacing/>
    </w:pPr>
    <w:rPr>
      <w:rFonts w:ascii="SUIT" w:hAnsi="SUIT" w:eastAsia="SUIT" w:cs="SUIT"/>
    </w:rPr>
  </w:style>
  <w:style w:type="paragraph" w:styleId="ListBullet2">
    <w:name w:val="List Bullet 2"/>
    <w:basedOn w:val="Normal"/>
    <w:uiPriority w:val="99"/>
    <w:unhideWhenUsed/>
    <w:rsid w:val="00326F90"/>
    <w:pPr>
      <w:numPr>
        <w:numId w:val="2"/>
      </w:numPr>
      <w:contextualSpacing/>
    </w:pPr>
    <w:rPr>
      <w:rFonts w:ascii="SUIT" w:hAnsi="SUIT" w:eastAsia="SUIT" w:cs="SUIT"/>
    </w:rPr>
  </w:style>
  <w:style w:type="paragraph" w:styleId="ListBullet3">
    <w:name w:val="List Bullet 3"/>
    <w:basedOn w:val="Normal"/>
    <w:uiPriority w:val="99"/>
    <w:unhideWhenUsed/>
    <w:rsid w:val="00326F90"/>
    <w:pPr>
      <w:numPr>
        <w:numId w:val="3"/>
      </w:numPr>
      <w:contextualSpacing/>
    </w:pPr>
    <w:rPr>
      <w:rFonts w:ascii="SUIT" w:hAnsi="SUIT" w:eastAsia="SUIT" w:cs="SUIT"/>
    </w:rPr>
  </w:style>
  <w:style w:type="paragraph" w:styleId="ListNumber">
    <w:name w:val="List Number"/>
    <w:basedOn w:val="Normal"/>
    <w:uiPriority w:val="99"/>
    <w:unhideWhenUsed/>
    <w:rsid w:val="00326F90"/>
    <w:pPr>
      <w:numPr>
        <w:numId w:val="5"/>
      </w:numPr>
      <w:contextualSpacing/>
    </w:pPr>
    <w:rPr>
      <w:rFonts w:ascii="SUIT" w:hAnsi="SUIT" w:eastAsia="SUIT" w:cs="SUIT"/>
    </w:rPr>
  </w:style>
  <w:style w:type="paragraph" w:styleId="ListNumber2">
    <w:name w:val="List Number 2"/>
    <w:basedOn w:val="Normal"/>
    <w:uiPriority w:val="99"/>
    <w:unhideWhenUsed/>
    <w:rsid w:val="0029639D"/>
    <w:pPr>
      <w:numPr>
        <w:numId w:val="6"/>
      </w:numPr>
      <w:contextualSpacing/>
    </w:pPr>
    <w:rPr>
      <w:rFonts w:ascii="SUIT" w:hAnsi="SUIT" w:eastAsia="SUIT" w:cs="SUIT"/>
    </w:rPr>
  </w:style>
  <w:style w:type="paragraph" w:styleId="ListNumber3">
    <w:name w:val="List Number 3"/>
    <w:basedOn w:val="Normal"/>
    <w:uiPriority w:val="99"/>
    <w:unhideWhenUsed/>
    <w:rsid w:val="0029639D"/>
    <w:pPr>
      <w:numPr>
        <w:numId w:val="7"/>
      </w:numPr>
      <w:contextualSpacing/>
    </w:pPr>
    <w:rPr>
      <w:rFonts w:ascii="SUIT" w:hAnsi="SUIT" w:eastAsia="SUIT" w:cs="SUIT"/>
    </w:rPr>
  </w:style>
  <w:style w:type="paragraph" w:styleId="ListContinue">
    <w:name w:val="List Continue"/>
    <w:basedOn w:val="Normal"/>
    <w:uiPriority w:val="99"/>
    <w:unhideWhenUsed/>
    <w:rsid w:val="0029639D"/>
    <w:pPr>
      <w:spacing w:after="120"/>
      <w:ind w:left="360"/>
      <w:contextualSpacing/>
    </w:pPr>
    <w:rPr>
      <w:rFonts w:ascii="SUIT" w:hAnsi="SUIT" w:eastAsia="SUIT" w:cs="SUIT"/>
    </w:rPr>
  </w:style>
  <w:style w:type="paragraph" w:styleId="ListContinue2">
    <w:name w:val="List Continue 2"/>
    <w:basedOn w:val="Normal"/>
    <w:uiPriority w:val="99"/>
    <w:unhideWhenUsed/>
    <w:rsid w:val="0029639D"/>
    <w:pPr>
      <w:spacing w:after="120"/>
      <w:ind w:left="720"/>
      <w:contextualSpacing/>
    </w:pPr>
    <w:rPr>
      <w:rFonts w:ascii="SUIT" w:hAnsi="SUIT" w:eastAsia="SUIT" w:cs="SUIT"/>
    </w:rPr>
  </w:style>
  <w:style w:type="paragraph" w:styleId="ListContinue3">
    <w:name w:val="List Continue 3"/>
    <w:basedOn w:val="Normal"/>
    <w:uiPriority w:val="99"/>
    <w:unhideWhenUsed/>
    <w:rsid w:val="0029639D"/>
    <w:pPr>
      <w:spacing w:after="120"/>
      <w:ind w:left="1080"/>
      <w:contextualSpacing/>
    </w:pPr>
    <w:rPr>
      <w:rFonts w:ascii="SUIT" w:hAnsi="SUIT" w:eastAsia="SUIT" w:cs="SUIT"/>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SUIT" w:hAnsi="SUIT" w:eastAsia="SUIT" w:cs="SUIT"/>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SUIT" w:hAnsi="SUIT" w:eastAsia="SUIT" w:cs="SUIT"/>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UIT" w:hAnsi="SUIT" w:eastAsia="SUIT" w:cs="SUIT"/>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SUIT" w:hAnsi="SUIT" w:eastAsia="SUIT" w:cs="SUIT"/>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SUIT" w:hAnsi="SUIT" w:eastAsia="SUIT" w:cs="SUIT"/>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AllBlue G밸리 창업경진대회 사업계획서 검토용 초안</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