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0"/>
      </w:pPr>
      <w:r>
        <w:t xml:space="preserve"/>
      </w:r>
    </w:p>
    <w:p>
      <w:pPr>
        <w:spacing w:after="200" w:before="0"/>
        <w:jc w:val="center"/>
      </w:pPr>
      <w:r>
        <w:rPr>
          <w:rFonts w:ascii="Georgia" w:cs="Georgia" w:eastAsia="Georgia" w:hAnsi="Georgia"/>
          <w:b/>
          <w:bCs/>
          <w:color w:val="2B2F4A"/>
          <w:sz w:val="72"/>
          <w:szCs w:val="72"/>
        </w:rPr>
        <w:t xml:space="preserve">THE FIVE ROOTS</w:t>
      </w:r>
    </w:p>
    <w:p>
      <w:pPr>
        <w:spacing w:after="200" w:before="0"/>
        <w:jc w:val="center"/>
      </w:pPr>
      <w:r>
        <w:rPr>
          <w:rFonts w:ascii="Georgia" w:cs="Georgia" w:eastAsia="Georgia" w:hAnsi="Georgia"/>
          <w:i/>
          <w:iCs/>
          <w:color w:val="2B2F4A"/>
          <w:sz w:val="32"/>
          <w:szCs w:val="32"/>
        </w:rPr>
        <w:t xml:space="preserve">A Midnight Magnolia Theory of Change</w:t>
      </w:r>
    </w:p>
    <w:p>
      <w:pPr>
        <w:spacing w:after="180" w:before="0"/>
      </w:pPr>
      <w:r>
        <w:t xml:space="preserve"/>
      </w:r>
    </w:p>
    <w:p>
      <w:pPr>
        <w:pBdr>
          <w:bottom w:val="single" w:color="C9A84C" w:sz="6" w:space="1"/>
        </w:pBdr>
        <w:spacing w:after="200" w:before="160"/>
      </w:pPr>
    </w:p>
    <w:p>
      <w:pPr>
        <w:spacing w:after="180" w:before="0"/>
      </w:pPr>
      <w:r>
        <w:t xml:space="preserve"/>
      </w:r>
    </w:p>
    <w:p>
      <w:pPr>
        <w:spacing w:after="200" w:before="0"/>
        <w:jc w:val="center"/>
      </w:pPr>
      <w:r>
        <w:rPr>
          <w:rFonts w:ascii="Georgia" w:cs="Georgia" w:eastAsia="Georgia" w:hAnsi="Georgia"/>
          <w:color w:val="666666"/>
          <w:sz w:val="22"/>
          <w:szCs w:val="22"/>
        </w:rPr>
        <w:t xml:space="preserve">Comprehensive Framework Documentation</w:t>
      </w:r>
    </w:p>
    <w:p>
      <w:pPr>
        <w:spacing w:after="100" w:before="0"/>
      </w:pPr>
      <w:r>
        <w:t xml:space="preserve"/>
      </w:r>
    </w:p>
    <w:p>
      <w:pPr>
        <w:spacing w:after="200" w:before="0"/>
        <w:jc w:val="center"/>
      </w:pPr>
      <w:r>
        <w:rPr>
          <w:rFonts w:ascii="Georgia" w:cs="Georgia" w:eastAsia="Georgia" w:hAnsi="Georgia"/>
          <w:b/>
          <w:bCs/>
          <w:color w:val="C9A84C"/>
          <w:sz w:val="22"/>
          <w:szCs w:val="22"/>
        </w:rPr>
        <w:t xml:space="preserve">Midnight Magnolia</w:t>
      </w:r>
    </w:p>
    <w:p>
      <w:pPr>
        <w:spacing w:after="200" w:before="0"/>
        <w:jc w:val="center"/>
      </w:pPr>
      <w:r>
        <w:rPr>
          <w:rFonts w:ascii="Georgia" w:cs="Georgia" w:eastAsia="Georgia" w:hAnsi="Georgia"/>
          <w:color w:val="2B2F4A"/>
          <w:sz w:val="20"/>
          <w:szCs w:val="20"/>
        </w:rPr>
        <w:t xml:space="preserve">Latisha Vincent-Waters, Founder</w:t>
      </w:r>
    </w:p>
    <w:p>
      <w:pPr>
        <w:spacing w:after="0" w:before="0"/>
      </w:pPr>
      <w:r>
        <w:br w:type="page"/>
      </w:r>
    </w:p>
    <w:p>
      <w:pPr>
        <w:pStyle w:val="Heading1"/>
        <w:spacing w:after="240" w:before="480"/>
      </w:pPr>
      <w:r>
        <w:rPr>
          <w:rFonts w:ascii="Georgia" w:cs="Georgia" w:eastAsia="Georgia" w:hAnsi="Georgia"/>
          <w:b/>
          <w:bCs/>
          <w:color w:val="2B2F4A"/>
          <w:sz w:val="36"/>
          <w:szCs w:val="36"/>
        </w:rPr>
        <w:t xml:space="preserve">A Note on This Document</w:t>
      </w:r>
    </w:p>
    <w:p>
      <w:pPr>
        <w:pBdr>
          <w:bottom w:val="single" w:color="C9A84C" w:sz="6" w:space="1"/>
        </w:pBdr>
        <w:spacing w:after="200" w:before="160"/>
      </w:pPr>
    </w:p>
    <w:p>
      <w:pPr>
        <w:spacing w:after="160" w:before="0"/>
      </w:pPr>
      <w:r>
        <w:rPr>
          <w:rFonts w:ascii="Georgia" w:cs="Georgia" w:eastAsia="Georgia" w:hAnsi="Georgia"/>
          <w:color w:val="2C2C2C"/>
          <w:sz w:val="22"/>
          <w:szCs w:val="22"/>
        </w:rPr>
        <w:t xml:space="preserve">The Five Roots is a living framework — not a program to complete, a protocol to follow, or a curriculum to consume. It was built from the inside out: from lived experience, recovered and still-recovering; from the traditions that held me when nothing else could; and from the intellectual frameworks that gave language to what I already knew in my body.</w:t>
      </w:r>
    </w:p>
    <w:p>
      <w:pPr>
        <w:spacing w:after="120" w:before="0"/>
      </w:pPr>
      <w:r>
        <w:t xml:space="preserve"/>
      </w:r>
    </w:p>
    <w:p>
      <w:pPr>
        <w:spacing w:after="160" w:before="0"/>
      </w:pPr>
      <w:r>
        <w:rPr>
          <w:rFonts w:ascii="Georgia" w:cs="Georgia" w:eastAsia="Georgia" w:hAnsi="Georgia"/>
          <w:color w:val="2C2C2C"/>
          <w:sz w:val="22"/>
          <w:szCs w:val="22"/>
        </w:rPr>
        <w:t xml:space="preserve">This document serves as the foundational record of that synthesis. It is intended for three purposes:</w:t>
      </w:r>
    </w:p>
    <w:p>
      <w:pPr>
        <w:spacing w:after="80" w:before="0"/>
      </w:pPr>
      <w:r>
        <w:t xml:space="preserve"/>
      </w:r>
    </w:p>
    <w:p>
      <w:pPr>
        <w:pStyle w:val="ListParagraph"/>
        <w:numPr>
          <w:ilvl w:val="0"/>
          <w:numId w:val="2"/>
        </w:numPr>
        <w:spacing w:after="80" w:before="0"/>
      </w:pPr>
      <w:r>
        <w:rPr>
          <w:rFonts w:ascii="Georgia" w:cs="Georgia" w:eastAsia="Georgia" w:hAnsi="Georgia"/>
          <w:color w:val="2C2C2C"/>
          <w:sz w:val="22"/>
          <w:szCs w:val="22"/>
        </w:rPr>
        <w:t xml:space="preserve">Internal Midnight Magnolia use — to anchor brand voice, product development, and community design</w:t>
      </w:r>
    </w:p>
    <w:p>
      <w:pPr>
        <w:pStyle w:val="ListParagraph"/>
        <w:numPr>
          <w:ilvl w:val="0"/>
          <w:numId w:val="2"/>
        </w:numPr>
        <w:spacing w:after="80" w:before="0"/>
      </w:pPr>
      <w:r>
        <w:rPr>
          <w:rFonts w:ascii="Georgia" w:cs="Georgia" w:eastAsia="Georgia" w:hAnsi="Georgia"/>
          <w:color w:val="2C2C2C"/>
          <w:sz w:val="22"/>
          <w:szCs w:val="22"/>
        </w:rPr>
        <w:t xml:space="preserve">Practitioner reference — for facilitators and community leaders working within the Midnight Magnolia container</w:t>
      </w:r>
    </w:p>
    <w:p>
      <w:pPr>
        <w:pStyle w:val="ListParagraph"/>
        <w:numPr>
          <w:ilvl w:val="0"/>
          <w:numId w:val="2"/>
        </w:numPr>
        <w:spacing w:after="80" w:before="0"/>
      </w:pPr>
      <w:r>
        <w:rPr>
          <w:rFonts w:ascii="Georgia" w:cs="Georgia" w:eastAsia="Georgia" w:hAnsi="Georgia"/>
          <w:color w:val="2C2C2C"/>
          <w:sz w:val="22"/>
          <w:szCs w:val="22"/>
        </w:rPr>
        <w:t xml:space="preserve">Archival purposes — as a record of origin, intent, and integrity</w:t>
      </w:r>
    </w:p>
    <w:p>
      <w:pPr>
        <w:spacing w:after="160" w:before="0"/>
      </w:pPr>
      <w:r>
        <w:t xml:space="preserve"/>
      </w:r>
    </w:p>
    <w:p>
      <w:pPr>
        <w:spacing w:after="160" w:before="0"/>
      </w:pPr>
      <w:r>
        <w:rPr>
          <w:rFonts w:ascii="Georgia" w:cs="Georgia" w:eastAsia="Georgia" w:hAnsi="Georgia"/>
          <w:color w:val="2C2C2C"/>
          <w:sz w:val="22"/>
          <w:szCs w:val="22"/>
        </w:rPr>
        <w:t xml:space="preserve">This framework draws from clinical traditions (Cognitive Behavioral Therapy, SMART Recovery), recovery-based spiritual programs (Recovery Dharma, Medication-Assisted Recovery Anonymous, Alcoholics Anonymous), and philosophical wisdom traditions (The Four Agreements, the Burn the Stigma framework). It is spiritually grounded in Black Southern ancestral tradition, including hoodoo, mediumship, and ancestor veneration rooted in the Lowcountry of South Carolina.</w:t>
      </w:r>
    </w:p>
    <w:p>
      <w:pPr>
        <w:spacing w:after="120" w:before="0"/>
      </w:pPr>
      <w:r>
        <w:t xml:space="preserve"/>
      </w:r>
    </w:p>
    <w:p>
      <w:pPr>
        <w:spacing w:after="160" w:before="0"/>
      </w:pPr>
      <w:r>
        <w:rPr>
          <w:rFonts w:ascii="Georgia" w:cs="Georgia" w:eastAsia="Georgia" w:hAnsi="Georgia"/>
          <w:color w:val="2C2C2C"/>
          <w:sz w:val="22"/>
          <w:szCs w:val="22"/>
        </w:rPr>
        <w:t xml:space="preserve">That spiritual grounding is named here as context, not offered as curriculum. Some knowledge belongs to the practitioner. Some belongs to the tradition. This document honors both.</w:t>
      </w:r>
    </w:p>
    <w:p>
      <w:pPr>
        <w:spacing w:after="0" w:before="0"/>
      </w:pPr>
      <w:r>
        <w:br w:type="page"/>
      </w:r>
    </w:p>
    <w:p>
      <w:pPr>
        <w:pStyle w:val="Heading1"/>
        <w:spacing w:after="240" w:before="480"/>
      </w:pPr>
      <w:r>
        <w:rPr>
          <w:rFonts w:ascii="Georgia" w:cs="Georgia" w:eastAsia="Georgia" w:hAnsi="Georgia"/>
          <w:b/>
          <w:bCs/>
          <w:color w:val="2B2F4A"/>
          <w:sz w:val="36"/>
          <w:szCs w:val="36"/>
        </w:rPr>
        <w:t xml:space="preserve">The Ancestral Ground</w:t>
      </w:r>
    </w:p>
    <w:p>
      <w:pPr>
        <w:pBdr>
          <w:bottom w:val="single" w:color="C9A84C" w:sz="6" w:space="1"/>
        </w:pBdr>
        <w:spacing w:after="200" w:before="160"/>
      </w:pPr>
    </w:p>
    <w:p>
      <w:pPr>
        <w:spacing w:after="160" w:before="0"/>
      </w:pPr>
      <w:r>
        <w:rPr>
          <w:rFonts w:ascii="Georgia" w:cs="Georgia" w:eastAsia="Georgia" w:hAnsi="Georgia"/>
          <w:i/>
          <w:iCs/>
          <w:color w:val="2C2C2C"/>
          <w:sz w:val="22"/>
          <w:szCs w:val="22"/>
        </w:rPr>
        <w:t xml:space="preserve">Before the roots, there is the soil.</w:t>
      </w:r>
    </w:p>
    <w:p>
      <w:pPr>
        <w:spacing w:after="140" w:before="0"/>
      </w:pPr>
      <w:r>
        <w:t xml:space="preserve"/>
      </w:r>
    </w:p>
    <w:p>
      <w:pPr>
        <w:spacing w:after="160" w:before="0"/>
      </w:pPr>
      <w:r>
        <w:rPr>
          <w:rFonts w:ascii="Georgia" w:cs="Georgia" w:eastAsia="Georgia" w:hAnsi="Georgia"/>
          <w:color w:val="2C2C2C"/>
          <w:sz w:val="22"/>
          <w:szCs w:val="22"/>
        </w:rPr>
        <w:t xml:space="preserve">The Five Roots framework is spiritually informed by practice that predates it — hoodoo, mediumship, and the active, ongoing relationship with ancestors that shapes how the creator of this framework knows what she knows. This is not metaphor. It is epistemology: a way of knowing that is lineage-based, place-based, and body-based.</w:t>
      </w:r>
    </w:p>
    <w:p>
      <w:pPr>
        <w:spacing w:after="120" w:before="0"/>
      </w:pPr>
      <w:r>
        <w:t xml:space="preserve"/>
      </w:r>
    </w:p>
    <w:p>
      <w:pPr>
        <w:spacing w:after="160" w:before="0"/>
      </w:pPr>
      <w:r>
        <w:rPr>
          <w:rFonts w:ascii="Georgia" w:cs="Georgia" w:eastAsia="Georgia" w:hAnsi="Georgia"/>
          <w:color w:val="2C2C2C"/>
          <w:sz w:val="22"/>
          <w:szCs w:val="22"/>
        </w:rPr>
        <w:t xml:space="preserve">The Ancestral Ground is not a module in this framework. It is the conditions under which the framework became possible. Specific practices, ritual knowledge, and ancestral relationships belong to the practitioner and to the traditions from which they come. They are named here because this framework’s integrity depends on honest attribution. They are not elaborated because that elaboration is not ours to give.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What is offered instead: the awareness that healing does not begin with you. That the dead remain in relationship with the living. That recovery — in any tradition — is always also intergenerational.</w:t>
            </w:r>
          </w:p>
        </w:tc>
      </w:tr>
    </w:tbl>
    <w:p>
      <w:pPr>
        <w:spacing w:after="200" w:before="0"/>
      </w:pPr>
      <w:r>
        <w:t xml:space="preserve"/>
      </w:r>
    </w:p>
    <w:p>
      <w:pPr>
        <w:spacing w:after="160" w:before="0"/>
      </w:pPr>
      <w:r>
        <w:rPr>
          <w:rFonts w:ascii="Georgia" w:cs="Georgia" w:eastAsia="Georgia" w:hAnsi="Georgia"/>
          <w:color w:val="2C2C2C"/>
          <w:sz w:val="22"/>
          <w:szCs w:val="22"/>
        </w:rPr>
        <w:t xml:space="preserve">This framework holds a specific tension: it is designed to be sharable, while remaining honest about what cannot be shared. The Ancestral Ground makes that tension visible rather than resolving it prematurely.</w:t>
      </w:r>
    </w:p>
    <w:p>
      <w:pPr>
        <w:spacing w:after="120" w:before="0"/>
      </w:pPr>
      <w:r>
        <w:t xml:space="preserve"/>
      </w:r>
    </w:p>
    <w:p>
      <w:pPr>
        <w:spacing w:after="160" w:before="0"/>
      </w:pPr>
      <w:r>
        <w:rPr>
          <w:rFonts w:ascii="Georgia" w:cs="Georgia" w:eastAsia="Georgia" w:hAnsi="Georgia"/>
          <w:color w:val="2C2C2C"/>
          <w:sz w:val="22"/>
          <w:szCs w:val="22"/>
        </w:rPr>
        <w:t xml:space="preserve">For practitioners working within Midnight Magnolia: the spiritual thread that runs through each root is named in this document as context. It is not yours to amplify, explain, or elaborate unless you carry that lineage yourself.</w:t>
      </w:r>
    </w:p>
    <w:p>
      <w:pPr>
        <w:spacing w:after="0" w:before="0"/>
      </w:pPr>
      <w:r>
        <w:br w:type="page"/>
      </w:r>
    </w:p>
    <w:p>
      <w:pPr>
        <w:pStyle w:val="Heading1"/>
        <w:spacing w:after="240" w:before="480"/>
      </w:pPr>
      <w:r>
        <w:rPr>
          <w:rFonts w:ascii="Georgia" w:cs="Georgia" w:eastAsia="Georgia" w:hAnsi="Georgia"/>
          <w:b/>
          <w:bCs/>
          <w:color w:val="2B2F4A"/>
          <w:sz w:val="36"/>
          <w:szCs w:val="36"/>
        </w:rPr>
        <w:t xml:space="preserve">The Five Roots</w:t>
      </w:r>
    </w:p>
    <w:p>
      <w:pPr>
        <w:spacing w:after="120" w:before="280"/>
      </w:pPr>
      <w:r>
        <w:rPr>
          <w:rFonts w:ascii="Georgia" w:cs="Georgia" w:eastAsia="Georgia" w:hAnsi="Georgia"/>
          <w:b/>
          <w:bCs/>
          <w:color w:val="2B2F4A"/>
          <w:sz w:val="26"/>
          <w:szCs w:val="26"/>
        </w:rPr>
        <w:t xml:space="preserve">Overview and Core Premise</w:t>
      </w:r>
    </w:p>
    <w:p>
      <w:pPr>
        <w:pBdr>
          <w:bottom w:val="single" w:color="C9A84C" w:sz="6" w:space="1"/>
        </w:pBdr>
        <w:spacing w:after="200" w:before="160"/>
      </w:pPr>
    </w:p>
    <w:p>
      <w:pPr>
        <w:spacing w:after="160" w:before="0"/>
      </w:pPr>
      <w:r>
        <w:rPr>
          <w:rFonts w:ascii="Georgia" w:cs="Georgia" w:eastAsia="Georgia" w:hAnsi="Georgia"/>
          <w:color w:val="2C2C2C"/>
          <w:sz w:val="22"/>
          <w:szCs w:val="22"/>
        </w:rPr>
        <w:t xml:space="preserve">The framework is organized around five practices. They move in sequence and in spirals — you will return to earlier roots from the vantage point of later ones, and find them changed each time. This is not a flaw in the framework. It is how healing works.</w:t>
      </w:r>
    </w:p>
    <w:p>
      <w:pPr>
        <w:spacing w:after="140" w:before="0"/>
      </w:pPr>
      <w:r>
        <w:t xml:space="preserve"/>
      </w:r>
    </w:p>
    <w:p>
      <w:pPr>
        <w:spacing w:after="100" w:before="240"/>
      </w:pPr>
      <w:r>
        <w:rPr>
          <w:rFonts w:ascii="Georgia" w:cs="Georgia" w:eastAsia="Georgia" w:hAnsi="Georgia"/>
          <w:b/>
          <w:bCs/>
          <w:caps/>
          <w:color w:val="C9A84C"/>
          <w:sz w:val="20"/>
          <w:szCs w:val="20"/>
        </w:rPr>
        <w:t xml:space="preserve">The Five Roots</w:t>
      </w:r>
    </w:p>
    <w:p>
      <w:pPr>
        <w:pStyle w:val="ListParagraph"/>
        <w:numPr>
          <w:ilvl w:val="0"/>
          <w:numId w:val="2"/>
        </w:numPr>
        <w:spacing w:after="80" w:before="0"/>
      </w:pPr>
      <w:r>
        <w:rPr>
          <w:rFonts w:ascii="Georgia" w:cs="Georgia" w:eastAsia="Georgia" w:hAnsi="Georgia"/>
          <w:color w:val="2C2C2C"/>
          <w:sz w:val="22"/>
          <w:szCs w:val="22"/>
        </w:rPr>
        <w:t xml:space="preserve">01 — Name It: Emotional literacy as foundation</w:t>
      </w:r>
    </w:p>
    <w:p>
      <w:pPr>
        <w:pStyle w:val="ListParagraph"/>
        <w:numPr>
          <w:ilvl w:val="0"/>
          <w:numId w:val="2"/>
        </w:numPr>
        <w:spacing w:after="80" w:before="0"/>
      </w:pPr>
      <w:r>
        <w:rPr>
          <w:rFonts w:ascii="Georgia" w:cs="Georgia" w:eastAsia="Georgia" w:hAnsi="Georgia"/>
          <w:color w:val="2C2C2C"/>
          <w:sz w:val="22"/>
          <w:szCs w:val="22"/>
        </w:rPr>
        <w:t xml:space="preserve">02 — Burn It: Release shame, keep the story</w:t>
      </w:r>
    </w:p>
    <w:p>
      <w:pPr>
        <w:pStyle w:val="ListParagraph"/>
        <w:numPr>
          <w:ilvl w:val="0"/>
          <w:numId w:val="2"/>
        </w:numPr>
        <w:spacing w:after="80" w:before="0"/>
      </w:pPr>
      <w:r>
        <w:rPr>
          <w:rFonts w:ascii="Georgia" w:cs="Georgia" w:eastAsia="Georgia" w:hAnsi="Georgia"/>
          <w:color w:val="2C2C2C"/>
          <w:sz w:val="22"/>
          <w:szCs w:val="22"/>
        </w:rPr>
        <w:t xml:space="preserve">03 — Examine It: Honest inquiry, without self-punishment</w:t>
      </w:r>
    </w:p>
    <w:p>
      <w:pPr>
        <w:pStyle w:val="ListParagraph"/>
        <w:numPr>
          <w:ilvl w:val="0"/>
          <w:numId w:val="2"/>
        </w:numPr>
        <w:spacing w:after="80" w:before="0"/>
      </w:pPr>
      <w:r>
        <w:rPr>
          <w:rFonts w:ascii="Georgia" w:cs="Georgia" w:eastAsia="Georgia" w:hAnsi="Georgia"/>
          <w:color w:val="2C2C2C"/>
          <w:sz w:val="22"/>
          <w:szCs w:val="22"/>
        </w:rPr>
        <w:t xml:space="preserve">04 — Tend It: Cultivation over correction</w:t>
      </w:r>
    </w:p>
    <w:p>
      <w:pPr>
        <w:pStyle w:val="ListParagraph"/>
        <w:numPr>
          <w:ilvl w:val="0"/>
          <w:numId w:val="2"/>
        </w:numPr>
        <w:spacing w:after="80" w:before="0"/>
      </w:pPr>
      <w:r>
        <w:rPr>
          <w:rFonts w:ascii="Georgia" w:cs="Georgia" w:eastAsia="Georgia" w:hAnsi="Georgia"/>
          <w:color w:val="2C2C2C"/>
          <w:sz w:val="22"/>
          <w:szCs w:val="22"/>
        </w:rPr>
        <w:t xml:space="preserve">05 — Root It: Community as medicine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Core Premise: Healing is not a destination. It is a living practice, approached through a spiral rather than a staircase. Each root grows in relationship to the others. You begin where you can. You return.</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The Through-Line</w:t>
      </w:r>
    </w:p>
    <w:p>
      <w:pPr>
        <w:spacing w:after="160" w:before="0"/>
      </w:pPr>
      <w:r>
        <w:rPr>
          <w:rFonts w:ascii="Georgia" w:cs="Georgia" w:eastAsia="Georgia" w:hAnsi="Georgia"/>
          <w:color w:val="2C2C2C"/>
          <w:sz w:val="22"/>
          <w:szCs w:val="22"/>
        </w:rPr>
        <w:t xml:space="preserve">All five roots grow from a single truth that runs beneath every framework referenced in this document: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Your survival was not a mistake. Your healing is not a performance. Your worth is not conditional on your productivity. You come from people. Those people are still with you.</w:t>
            </w:r>
          </w:p>
        </w:tc>
      </w:tr>
    </w:tbl>
    <w:p>
      <w:pPr>
        <w:spacing w:after="0" w:before="0"/>
      </w:pPr>
      <w:r>
        <w:br w:type="page"/>
      </w:r>
    </w:p>
    <w:p>
      <w:pPr>
        <w:spacing w:after="280" w:before="120"/>
      </w:pPr>
      <w:r>
        <w:rPr>
          <w:rFonts w:ascii="Georgia" w:cs="Georgia" w:eastAsia="Georgia" w:hAnsi="Georgia"/>
          <w:b/>
          <w:bCs/>
          <w:color w:val="C9A84C"/>
          <w:sz w:val="52"/>
          <w:szCs w:val="52"/>
        </w:rPr>
        <w:t xml:space="preserve">01  </w:t>
      </w:r>
      <w:r>
        <w:rPr>
          <w:rFonts w:ascii="Georgia" w:cs="Georgia" w:eastAsia="Georgia" w:hAnsi="Georgia"/>
          <w:b/>
          <w:bCs/>
          <w:color w:val="2B2F4A"/>
          <w:sz w:val="52"/>
          <w:szCs w:val="52"/>
        </w:rPr>
        <w:t xml:space="preserve">Name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You cannot heal what you cannot name. Emotional literacy is not a luxury — it is the first act of care.</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The Core Claim</w:t>
      </w:r>
    </w:p>
    <w:p>
      <w:pPr>
        <w:spacing w:after="160" w:before="0"/>
      </w:pPr>
      <w:r>
        <w:rPr>
          <w:rFonts w:ascii="Georgia" w:cs="Georgia" w:eastAsia="Georgia" w:hAnsi="Georgia"/>
          <w:color w:val="2C2C2C"/>
          <w:sz w:val="22"/>
          <w:szCs w:val="22"/>
        </w:rPr>
        <w:t xml:space="preserve">Most of us were taught to manage feelings, not to name them. We learned to perform wellness, suppress distress, or translate pain into productivity before it could be witnessed. Name It interrupts that training. It asks: what is actually happening in this body, in this moment? It makes emotional literacy the entry point to everything that follows.</w:t>
      </w:r>
    </w:p>
    <w:p>
      <w:pPr>
        <w:spacing w:after="140" w:before="0"/>
      </w:pPr>
      <w:r>
        <w:t xml:space="preserve"/>
      </w:r>
    </w:p>
    <w:p>
      <w:pPr>
        <w:spacing w:after="100" w:before="240"/>
      </w:pPr>
      <w:r>
        <w:rPr>
          <w:rFonts w:ascii="Georgia" w:cs="Georgia" w:eastAsia="Georgia" w:hAnsi="Georgia"/>
          <w:b/>
          <w:bCs/>
          <w:caps/>
          <w:color w:val="C9A84C"/>
          <w:sz w:val="20"/>
          <w:szCs w:val="20"/>
        </w:rPr>
        <w:t xml:space="preserve">Framework Sources</w:t>
      </w:r>
    </w:p>
    <w:p>
      <w:pPr>
        <w:spacing w:after="120" w:before="280"/>
      </w:pPr>
      <w:r>
        <w:rPr>
          <w:rFonts w:ascii="Georgia" w:cs="Georgia" w:eastAsia="Georgia" w:hAnsi="Georgia"/>
          <w:b/>
          <w:bCs/>
          <w:color w:val="2B2F4A"/>
          <w:sz w:val="26"/>
          <w:szCs w:val="26"/>
        </w:rPr>
        <w:t xml:space="preserve">The Feelings Wheel</w:t>
      </w:r>
    </w:p>
    <w:p>
      <w:pPr>
        <w:spacing w:after="160" w:before="0"/>
      </w:pPr>
      <w:r>
        <w:rPr>
          <w:rFonts w:ascii="Georgia" w:cs="Georgia" w:eastAsia="Georgia" w:hAnsi="Georgia"/>
          <w:color w:val="2C2C2C"/>
          <w:sz w:val="22"/>
          <w:szCs w:val="22"/>
        </w:rPr>
        <w:t xml:space="preserve">The Feelings Wheel moves from primary emotions — joy, sadness, anger, fear, disgust, surprise — through secondary and tertiary layers of nuance. Its function within this framework is precise: to help practitioners move from “I feel bad” to “I feel ashamed, and underneath that, I feel afraid.” That movement — from the surface word to the root word — is where healing begins. Naming it accurately is not a small thing. It is the precondition for everything that follows.</w:t>
      </w:r>
    </w:p>
    <w:p>
      <w:pPr>
        <w:spacing w:after="120" w:before="0"/>
      </w:pPr>
      <w:r>
        <w:t xml:space="preserve"/>
      </w:r>
    </w:p>
    <w:p>
      <w:pPr>
        <w:spacing w:after="120" w:before="280"/>
      </w:pPr>
      <w:r>
        <w:rPr>
          <w:rFonts w:ascii="Georgia" w:cs="Georgia" w:eastAsia="Georgia" w:hAnsi="Georgia"/>
          <w:b/>
          <w:bCs/>
          <w:color w:val="2B2F4A"/>
          <w:sz w:val="26"/>
          <w:szCs w:val="26"/>
        </w:rPr>
        <w:t xml:space="preserve">Cognitive Behavioral Therapy (CBT)</w:t>
      </w:r>
    </w:p>
    <w:p>
      <w:pPr>
        <w:spacing w:after="160" w:before="0"/>
      </w:pPr>
      <w:r>
        <w:rPr>
          <w:rFonts w:ascii="Georgia" w:cs="Georgia" w:eastAsia="Georgia" w:hAnsi="Georgia"/>
          <w:color w:val="2C2C2C"/>
          <w:sz w:val="22"/>
          <w:szCs w:val="22"/>
        </w:rPr>
        <w:t xml:space="preserve">CBT maps the relationship between thoughts, feelings, and behaviors. Within Name It, the CBT contribution is pre-cognitive: before restructuring any thought, you must first be able to accurately identify what you feel. The thought record, the cognitive loop, the identification of distortions — all of this begins with honest emotional labeling. CBT gives the framework its structural precision. The Feelings Wheel gives it emotional granularity. Together they form the entry point.</w:t>
      </w:r>
    </w:p>
    <w:p>
      <w:pPr>
        <w:spacing w:after="200" w:before="0"/>
      </w:pPr>
      <w:r>
        <w:t xml:space="preserve"/>
      </w:r>
    </w:p>
    <w:p>
      <w:pPr>
        <w:spacing w:after="100" w:before="240"/>
      </w:pPr>
      <w:r>
        <w:rPr>
          <w:rFonts w:ascii="Georgia" w:cs="Georgia" w:eastAsia="Georgia" w:hAnsi="Georgia"/>
          <w:b/>
          <w:bCs/>
          <w:caps/>
          <w:color w:val="C9A84C"/>
          <w:sz w:val="20"/>
          <w:szCs w:val="20"/>
        </w:rPr>
        <w:t xml:space="preserve">The Spiritual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2F4A" w:sz="20"/>
              <w:bottom w:val="none" w:color="FFFFFF" w:sz="0"/>
              <w:right w:val="none" w:color="FFFFFF" w:sz="0"/>
            </w:tcBorders>
            <w:shd w:fill="EAEBF0" w:val="clear"/>
            <w:tcMar>
              <w:top w:type="dxa" w:w="180"/>
              <w:left w:type="dxa" w:w="320"/>
              <w:bottom w:type="dxa" w:w="180"/>
              <w:right w:type="dxa" w:w="220"/>
            </w:tcMar>
          </w:tcPr>
          <w:p>
            <w:r>
              <w:rPr>
                <w:rFonts w:ascii="Georgia" w:cs="Georgia" w:eastAsia="Georgia" w:hAnsi="Georgia"/>
                <w:color w:val="2B2F4A"/>
                <w:sz w:val="22"/>
                <w:szCs w:val="22"/>
              </w:rPr>
              <w:t xml:space="preserve">Mediumship, at its core, is a practice of attunement — learning to distinguish what you feel from what is being communicated through you. This discernment is emotional literacy at its most refined form. The Feelings Wheel teaches you to name what is yours. Mediumship teaches you what is not. Both matter for healing work that does not collapse under the weight of what it carries.</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In Practice</w:t>
      </w:r>
    </w:p>
    <w:p>
      <w:pPr>
        <w:pStyle w:val="ListParagraph"/>
        <w:numPr>
          <w:ilvl w:val="0"/>
          <w:numId w:val="2"/>
        </w:numPr>
        <w:spacing w:after="80" w:before="0"/>
      </w:pPr>
      <w:r>
        <w:rPr>
          <w:rFonts w:ascii="Georgia" w:cs="Georgia" w:eastAsia="Georgia" w:hAnsi="Georgia"/>
          <w:color w:val="2C2C2C"/>
          <w:sz w:val="22"/>
          <w:szCs w:val="22"/>
        </w:rPr>
        <w:t xml:space="preserve">Daily feelings check-in using the Feelings Wheel — morning or evening, five minutes</w:t>
      </w:r>
    </w:p>
    <w:p>
      <w:pPr>
        <w:pStyle w:val="ListParagraph"/>
        <w:numPr>
          <w:ilvl w:val="0"/>
          <w:numId w:val="2"/>
        </w:numPr>
        <w:spacing w:after="80" w:before="0"/>
      </w:pPr>
      <w:r>
        <w:rPr>
          <w:rFonts w:ascii="Georgia" w:cs="Georgia" w:eastAsia="Georgia" w:hAnsi="Georgia"/>
          <w:color w:val="2C2C2C"/>
          <w:sz w:val="22"/>
          <w:szCs w:val="22"/>
        </w:rPr>
        <w:t xml:space="preserve">CBT thought record: identify the trigger, name the emotion precisely, trace the thought that preceded it</w:t>
      </w:r>
    </w:p>
    <w:p>
      <w:pPr>
        <w:pStyle w:val="ListParagraph"/>
        <w:numPr>
          <w:ilvl w:val="0"/>
          <w:numId w:val="2"/>
        </w:numPr>
        <w:spacing w:after="80" w:before="0"/>
      </w:pPr>
      <w:r>
        <w:rPr>
          <w:rFonts w:ascii="Georgia" w:cs="Georgia" w:eastAsia="Georgia" w:hAnsi="Georgia"/>
          <w:color w:val="2C2C2C"/>
          <w:sz w:val="22"/>
          <w:szCs w:val="22"/>
        </w:rPr>
        <w:t xml:space="preserve">Body-based check-in before cognitive work: “Where do I feel this? What does it feel like in my body?”</w:t>
      </w:r>
    </w:p>
    <w:p>
      <w:pPr>
        <w:pStyle w:val="ListParagraph"/>
        <w:numPr>
          <w:ilvl w:val="0"/>
          <w:numId w:val="2"/>
        </w:numPr>
        <w:spacing w:after="80" w:before="0"/>
      </w:pPr>
      <w:r>
        <w:rPr>
          <w:rFonts w:ascii="Georgia" w:cs="Georgia" w:eastAsia="Georgia" w:hAnsi="Georgia"/>
          <w:color w:val="2C2C2C"/>
          <w:sz w:val="22"/>
          <w:szCs w:val="22"/>
        </w:rPr>
        <w:t xml:space="preserve">Journaling prompt: “The feeling beneath the feeling is ___."”</w:t>
      </w:r>
    </w:p>
    <w:p>
      <w:pPr>
        <w:pStyle w:val="ListParagraph"/>
        <w:numPr>
          <w:ilvl w:val="0"/>
          <w:numId w:val="2"/>
        </w:numPr>
        <w:spacing w:after="80" w:before="0"/>
      </w:pPr>
      <w:r>
        <w:rPr>
          <w:rFonts w:ascii="Georgia" w:cs="Georgia" w:eastAsia="Georgia" w:hAnsi="Georgia"/>
          <w:color w:val="2C2C2C"/>
          <w:sz w:val="22"/>
          <w:szCs w:val="22"/>
        </w:rPr>
        <w:t xml:space="preserve">Attunement check: “Is this feeling mine? Or is it something I am receiving?”</w:t>
      </w:r>
    </w:p>
    <w:p>
      <w:pPr>
        <w:spacing w:after="0" w:before="0"/>
      </w:pPr>
      <w:r>
        <w:br w:type="page"/>
      </w:r>
    </w:p>
    <w:p>
      <w:pPr>
        <w:spacing w:after="280" w:before="120"/>
      </w:pPr>
      <w:r>
        <w:rPr>
          <w:rFonts w:ascii="Georgia" w:cs="Georgia" w:eastAsia="Georgia" w:hAnsi="Georgia"/>
          <w:b/>
          <w:bCs/>
          <w:color w:val="C9A84C"/>
          <w:sz w:val="52"/>
          <w:szCs w:val="52"/>
        </w:rPr>
        <w:t xml:space="preserve">02  </w:t>
      </w:r>
      <w:r>
        <w:rPr>
          <w:rFonts w:ascii="Georgia" w:cs="Georgia" w:eastAsia="Georgia" w:hAnsi="Georgia"/>
          <w:b/>
          <w:bCs/>
          <w:color w:val="2B2F4A"/>
          <w:sz w:val="52"/>
          <w:szCs w:val="52"/>
        </w:rPr>
        <w:t xml:space="preserve">Burn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Release shame without burning the self. We stop turning pain into a verdict.</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The Core Claim</w:t>
      </w:r>
    </w:p>
    <w:p>
      <w:pPr>
        <w:spacing w:after="160" w:before="0"/>
      </w:pPr>
      <w:r>
        <w:rPr>
          <w:rFonts w:ascii="Georgia" w:cs="Georgia" w:eastAsia="Georgia" w:hAnsi="Georgia"/>
          <w:color w:val="2C2C2C"/>
          <w:sz w:val="22"/>
          <w:szCs w:val="22"/>
        </w:rPr>
        <w:t xml:space="preserve">Shame is not feedback. It is not information about who you are. It is what happens when pain is met with judgment instead of witness. Burn It creates a container for releasing the stories that punish survival — the narratives absorbed from systems, families, communities, and institutions that decided what your experience meant about your worth. It does not ask you to burn your history. It asks you to stop letting shame write the ending.</w:t>
      </w:r>
    </w:p>
    <w:p>
      <w:pPr>
        <w:spacing w:after="140" w:before="0"/>
      </w:pPr>
      <w:r>
        <w:t xml:space="preserve"/>
      </w:r>
    </w:p>
    <w:p>
      <w:pPr>
        <w:spacing w:after="100" w:before="240"/>
      </w:pPr>
      <w:r>
        <w:rPr>
          <w:rFonts w:ascii="Georgia" w:cs="Georgia" w:eastAsia="Georgia" w:hAnsi="Georgia"/>
          <w:b/>
          <w:bCs/>
          <w:caps/>
          <w:color w:val="C9A84C"/>
          <w:sz w:val="20"/>
          <w:szCs w:val="20"/>
        </w:rPr>
        <w:t xml:space="preserve">Framework Sources</w:t>
      </w:r>
    </w:p>
    <w:p>
      <w:pPr>
        <w:spacing w:after="120" w:before="280"/>
      </w:pPr>
      <w:r>
        <w:rPr>
          <w:rFonts w:ascii="Georgia" w:cs="Georgia" w:eastAsia="Georgia" w:hAnsi="Georgia"/>
          <w:b/>
          <w:bCs/>
          <w:color w:val="2B2F4A"/>
          <w:sz w:val="26"/>
          <w:szCs w:val="26"/>
        </w:rPr>
        <w:t xml:space="preserve">Burn the Stigma</w:t>
      </w:r>
    </w:p>
    <w:p>
      <w:pPr>
        <w:spacing w:after="160" w:before="0"/>
      </w:pPr>
      <w:r>
        <w:rPr>
          <w:rFonts w:ascii="Georgia" w:cs="Georgia" w:eastAsia="Georgia" w:hAnsi="Georgia"/>
          <w:color w:val="2C2C2C"/>
          <w:sz w:val="22"/>
          <w:szCs w:val="22"/>
        </w:rPr>
        <w:t xml:space="preserve">The Burn the Stigma framework centers a deceptively simple principle: stigma does not live in the person it targets. It lives in the language, the systems, and the stories that surround them. “Burn the stigma. Keep the person.” This pillar takes that principle as its operational logic — examining what was absorbed from outside (the verdict, the label, the narrative) and distinguishing it from what belongs to the person (the experience, the survival, the truth).</w:t>
      </w:r>
    </w:p>
    <w:p>
      <w:pPr>
        <w:spacing w:after="120" w:before="0"/>
      </w:pPr>
      <w:r>
        <w:t xml:space="preserve"/>
      </w:r>
    </w:p>
    <w:p>
      <w:pPr>
        <w:spacing w:after="120" w:before="280"/>
      </w:pPr>
      <w:r>
        <w:rPr>
          <w:rFonts w:ascii="Georgia" w:cs="Georgia" w:eastAsia="Georgia" w:hAnsi="Georgia"/>
          <w:b/>
          <w:bCs/>
          <w:color w:val="2B2F4A"/>
          <w:sz w:val="26"/>
          <w:szCs w:val="26"/>
        </w:rPr>
        <w:t xml:space="preserve">Medication-Assisted Recovery Anonymous (MARA)</w:t>
      </w:r>
    </w:p>
    <w:p>
      <w:pPr>
        <w:spacing w:after="160" w:before="0"/>
      </w:pPr>
      <w:r>
        <w:rPr>
          <w:rFonts w:ascii="Georgia" w:cs="Georgia" w:eastAsia="Georgia" w:hAnsi="Georgia"/>
          <w:color w:val="2C2C2C"/>
          <w:sz w:val="22"/>
          <w:szCs w:val="22"/>
        </w:rPr>
        <w:t xml:space="preserve">MARA’s preamble makes its philosophical foundation explicit: “Non-judgment is our code.” Within Burn It, MARA contributes the crucial recognition that recovery takes many forms, that no path is purer than another, and that judgment — of self or others — is what most reliably destroys the conditions in which healing can grow. MARA’s non-shame-based inventory practice — examining strengths, weaknesses, and misconceptions without self-indictment — models the ethic this pillar requires.</w:t>
      </w:r>
    </w:p>
    <w:p>
      <w:pPr>
        <w:spacing w:after="120" w:before="0"/>
      </w:pPr>
      <w:r>
        <w:t xml:space="preserve"/>
      </w:r>
    </w:p>
    <w:p>
      <w:pPr>
        <w:spacing w:after="120" w:before="280"/>
      </w:pPr>
      <w:r>
        <w:rPr>
          <w:rFonts w:ascii="Georgia" w:cs="Georgia" w:eastAsia="Georgia" w:hAnsi="Georgia"/>
          <w:b/>
          <w:bCs/>
          <w:color w:val="2B2F4A"/>
          <w:sz w:val="26"/>
          <w:szCs w:val="26"/>
        </w:rPr>
        <w:t xml:space="preserve">Recovery Dharma — The First Noble Truth</w:t>
      </w:r>
    </w:p>
    <w:p>
      <w:pPr>
        <w:spacing w:after="160" w:before="0"/>
      </w:pPr>
      <w:r>
        <w:rPr>
          <w:rFonts w:ascii="Georgia" w:cs="Georgia" w:eastAsia="Georgia" w:hAnsi="Georgia"/>
          <w:color w:val="2C2C2C"/>
          <w:sz w:val="22"/>
          <w:szCs w:val="22"/>
        </w:rPr>
        <w:t xml:space="preserve">Recovery Dharma’s foundation in the Four Noble Truths begins with the simplest and most radical claim: there is suffering. Not as accusation. Not as verdict. Simply as truth. The First Noble Truth teaches that the presence of suffering is not evidence of failure — it is the condition that makes practice necessary and possible. Burn It holds this teaching as its philosophical spine.</w:t>
      </w:r>
    </w:p>
    <w:p>
      <w:pPr>
        <w:spacing w:after="200" w:before="0"/>
      </w:pPr>
      <w:r>
        <w:t xml:space="preserve"/>
      </w:r>
    </w:p>
    <w:p>
      <w:pPr>
        <w:spacing w:after="100" w:before="240"/>
      </w:pPr>
      <w:r>
        <w:rPr>
          <w:rFonts w:ascii="Georgia" w:cs="Georgia" w:eastAsia="Georgia" w:hAnsi="Georgia"/>
          <w:b/>
          <w:bCs/>
          <w:caps/>
          <w:color w:val="C9A84C"/>
          <w:sz w:val="20"/>
          <w:szCs w:val="20"/>
        </w:rPr>
        <w:t xml:space="preserve">The Spiritual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2F4A" w:sz="20"/>
              <w:bottom w:val="none" w:color="FFFFFF" w:sz="0"/>
              <w:right w:val="none" w:color="FFFFFF" w:sz="0"/>
            </w:tcBorders>
            <w:shd w:fill="EAEBF0" w:val="clear"/>
            <w:tcMar>
              <w:top w:type="dxa" w:w="180"/>
              <w:left w:type="dxa" w:w="320"/>
              <w:bottom w:type="dxa" w:w="180"/>
              <w:right w:type="dxa" w:w="220"/>
            </w:tcMar>
          </w:tcPr>
          <w:p>
            <w:r>
              <w:rPr>
                <w:rFonts w:ascii="Georgia" w:cs="Georgia" w:eastAsia="Georgia" w:hAnsi="Georgia"/>
                <w:color w:val="2B2F4A"/>
                <w:sz w:val="22"/>
                <w:szCs w:val="22"/>
              </w:rPr>
              <w:t xml:space="preserve">Hoodoo has always included literal fire — candle work, petition burning, cleansing smoke. The ritual act of burning is a technology for release that predates every clinical framework in this document. There is also a specific stigma to name: Black spiritual traditions were criminalized, pathologized, and dismissed as superstition by the same institutions that called Black people property. To practice hoodoo openly — to name it here — is itself a form of burning stigma. It is reclamation as spiritual act.</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In Practice</w:t>
      </w:r>
    </w:p>
    <w:p>
      <w:pPr>
        <w:pStyle w:val="ListParagraph"/>
        <w:numPr>
          <w:ilvl w:val="0"/>
          <w:numId w:val="2"/>
        </w:numPr>
        <w:spacing w:after="80" w:before="0"/>
      </w:pPr>
      <w:r>
        <w:rPr>
          <w:rFonts w:ascii="Georgia" w:cs="Georgia" w:eastAsia="Georgia" w:hAnsi="Georgia"/>
          <w:color w:val="2C2C2C"/>
          <w:sz w:val="22"/>
          <w:szCs w:val="22"/>
        </w:rPr>
        <w:t xml:space="preserve">Stigma journaling: “The story I was told about what happened to me is ___. The true story is ___.”</w:t>
      </w:r>
    </w:p>
    <w:p>
      <w:pPr>
        <w:pStyle w:val="ListParagraph"/>
        <w:numPr>
          <w:ilvl w:val="0"/>
          <w:numId w:val="2"/>
        </w:numPr>
        <w:spacing w:after="80" w:before="0"/>
      </w:pPr>
      <w:r>
        <w:rPr>
          <w:rFonts w:ascii="Georgia" w:cs="Georgia" w:eastAsia="Georgia" w:hAnsi="Georgia"/>
          <w:color w:val="2C2C2C"/>
          <w:sz w:val="22"/>
          <w:szCs w:val="22"/>
        </w:rPr>
        <w:t xml:space="preserve">MARA preamble reflection: read “Non-judgment is our code” and write a personal response to it</w:t>
      </w:r>
    </w:p>
    <w:p>
      <w:pPr>
        <w:pStyle w:val="ListParagraph"/>
        <w:numPr>
          <w:ilvl w:val="0"/>
          <w:numId w:val="2"/>
        </w:numPr>
        <w:spacing w:after="80" w:before="0"/>
      </w:pPr>
      <w:r>
        <w:rPr>
          <w:rFonts w:ascii="Georgia" w:cs="Georgia" w:eastAsia="Georgia" w:hAnsi="Georgia"/>
          <w:color w:val="2C2C2C"/>
          <w:sz w:val="22"/>
          <w:szCs w:val="22"/>
        </w:rPr>
        <w:t xml:space="preserve">Recovery Dharma First Noble Truth inquiry: “What is the suffering here? Can I be present with it without fleeing?”</w:t>
      </w:r>
    </w:p>
    <w:p>
      <w:pPr>
        <w:pStyle w:val="ListParagraph"/>
        <w:numPr>
          <w:ilvl w:val="0"/>
          <w:numId w:val="2"/>
        </w:numPr>
        <w:spacing w:after="80" w:before="0"/>
      </w:pPr>
      <w:r>
        <w:rPr>
          <w:rFonts w:ascii="Georgia" w:cs="Georgia" w:eastAsia="Georgia" w:hAnsi="Georgia"/>
          <w:color w:val="2C2C2C"/>
          <w:sz w:val="22"/>
          <w:szCs w:val="22"/>
        </w:rPr>
        <w:t xml:space="preserve">Name the specific stigma: “The false story about this is ___. I release it here.”</w:t>
      </w:r>
    </w:p>
    <w:p>
      <w:pPr>
        <w:pStyle w:val="ListParagraph"/>
        <w:numPr>
          <w:ilvl w:val="0"/>
          <w:numId w:val="2"/>
        </w:numPr>
        <w:spacing w:after="80" w:before="0"/>
      </w:pPr>
      <w:r>
        <w:rPr>
          <w:rFonts w:ascii="Georgia" w:cs="Georgia" w:eastAsia="Georgia" w:hAnsi="Georgia"/>
          <w:color w:val="2C2C2C"/>
          <w:sz w:val="22"/>
          <w:szCs w:val="22"/>
        </w:rPr>
        <w:t xml:space="preserve">Fire practice as a ritual container for release — held privately, not elaborated in public-facing materials</w:t>
      </w:r>
    </w:p>
    <w:p>
      <w:pPr>
        <w:spacing w:after="0" w:before="0"/>
      </w:pPr>
      <w:r>
        <w:br w:type="page"/>
      </w:r>
    </w:p>
    <w:p>
      <w:pPr>
        <w:spacing w:after="280" w:before="120"/>
      </w:pPr>
      <w:r>
        <w:rPr>
          <w:rFonts w:ascii="Georgia" w:cs="Georgia" w:eastAsia="Georgia" w:hAnsi="Georgia"/>
          <w:b/>
          <w:bCs/>
          <w:color w:val="C9A84C"/>
          <w:sz w:val="52"/>
          <w:szCs w:val="52"/>
        </w:rPr>
        <w:t xml:space="preserve">03  </w:t>
      </w:r>
      <w:r>
        <w:rPr>
          <w:rFonts w:ascii="Georgia" w:cs="Georgia" w:eastAsia="Georgia" w:hAnsi="Georgia"/>
          <w:b/>
          <w:bCs/>
          <w:color w:val="2B2F4A"/>
          <w:sz w:val="52"/>
          <w:szCs w:val="52"/>
        </w:rPr>
        <w:t xml:space="preserve">Examine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Honest inventory is not self-indictment. It is curiosity with enough love to look clearly.</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The Core Claim</w:t>
      </w:r>
    </w:p>
    <w:p>
      <w:pPr>
        <w:spacing w:after="160" w:before="0"/>
      </w:pPr>
      <w:r>
        <w:rPr>
          <w:rFonts w:ascii="Georgia" w:cs="Georgia" w:eastAsia="Georgia" w:hAnsi="Georgia"/>
          <w:color w:val="2C2C2C"/>
          <w:sz w:val="22"/>
          <w:szCs w:val="22"/>
        </w:rPr>
        <w:t xml:space="preserve">After shame is released, the question becomes: what remains? Examine It asks you to look honestly at your patterns, beliefs, assumptions, and inherited stories — not to condemn them, but to understand them. This is not the kind of self-examination that arrives with a verdict already written. It is the kind that arrives with a lantern, prepared to be surprised by what it finds.</w:t>
      </w:r>
    </w:p>
    <w:p>
      <w:pPr>
        <w:spacing w:after="140" w:before="0"/>
      </w:pPr>
      <w:r>
        <w:t xml:space="preserve"/>
      </w:r>
    </w:p>
    <w:p>
      <w:pPr>
        <w:spacing w:after="100" w:before="240"/>
      </w:pPr>
      <w:r>
        <w:rPr>
          <w:rFonts w:ascii="Georgia" w:cs="Georgia" w:eastAsia="Georgia" w:hAnsi="Georgia"/>
          <w:b/>
          <w:bCs/>
          <w:caps/>
          <w:color w:val="C9A84C"/>
          <w:sz w:val="20"/>
          <w:szCs w:val="20"/>
        </w:rPr>
        <w:t xml:space="preserve">Framework Sources</w:t>
      </w:r>
    </w:p>
    <w:p>
      <w:pPr>
        <w:spacing w:after="120" w:before="280"/>
      </w:pPr>
      <w:r>
        <w:rPr>
          <w:rFonts w:ascii="Georgia" w:cs="Georgia" w:eastAsia="Georgia" w:hAnsi="Georgia"/>
          <w:b/>
          <w:bCs/>
          <w:color w:val="2B2F4A"/>
          <w:sz w:val="26"/>
          <w:szCs w:val="26"/>
        </w:rPr>
        <w:t xml:space="preserve">The Four Agreements</w:t>
      </w:r>
    </w:p>
    <w:p>
      <w:pPr>
        <w:spacing w:after="160" w:before="0"/>
      </w:pPr>
      <w:r>
        <w:rPr>
          <w:rFonts w:ascii="Georgia" w:cs="Georgia" w:eastAsia="Georgia" w:hAnsi="Georgia"/>
          <w:color w:val="2C2C2C"/>
          <w:sz w:val="22"/>
          <w:szCs w:val="22"/>
        </w:rPr>
        <w:t xml:space="preserve">Don Miguel Ruiz’s Four Agreements function as a self-examination toolkit within this pillar. Be impeccable with your word — first to yourself, in the stories you tell yourself about who you are. Don’t take anything personally — which requires first examining why you do. Don’t make assumptions — especially about your own unworthiness. Always do your best — which begins with knowing what your best looks like today, in this energy. Each Agreement is an invitation to honest self-inquiry without punishment.</w:t>
      </w:r>
    </w:p>
    <w:p>
      <w:pPr>
        <w:spacing w:after="120" w:before="0"/>
      </w:pPr>
      <w:r>
        <w:t xml:space="preserve"/>
      </w:r>
    </w:p>
    <w:p>
      <w:pPr>
        <w:spacing w:after="120" w:before="280"/>
      </w:pPr>
      <w:r>
        <w:rPr>
          <w:rFonts w:ascii="Georgia" w:cs="Georgia" w:eastAsia="Georgia" w:hAnsi="Georgia"/>
          <w:b/>
          <w:bCs/>
          <w:color w:val="2B2F4A"/>
          <w:sz w:val="26"/>
          <w:szCs w:val="26"/>
        </w:rPr>
        <w:t xml:space="preserve">SMART Recovery</w:t>
      </w:r>
    </w:p>
    <w:p>
      <w:pPr>
        <w:spacing w:after="160" w:before="0"/>
      </w:pPr>
      <w:r>
        <w:rPr>
          <w:rFonts w:ascii="Georgia" w:cs="Georgia" w:eastAsia="Georgia" w:hAnsi="Georgia"/>
          <w:color w:val="2C2C2C"/>
          <w:sz w:val="22"/>
          <w:szCs w:val="22"/>
        </w:rPr>
        <w:t xml:space="preserve">SMART Recovery’s Cost-Benefit Analysis (CBA) provides a structured framework for examining a pattern, belief, or behavior with genuine curiosity. The CBA asks: what is this giving me? What is it costing me? This question, asked honestly, is more powerful than judgment. SMART’s cognitive tools — including Disputing Unhelpful Beliefs and the Five Questions — support the examination of thought patterns that have outlived their usefulness.</w:t>
      </w:r>
    </w:p>
    <w:p>
      <w:pPr>
        <w:spacing w:after="120" w:before="0"/>
      </w:pPr>
      <w:r>
        <w:t xml:space="preserve"/>
      </w:r>
    </w:p>
    <w:p>
      <w:pPr>
        <w:spacing w:after="120" w:before="280"/>
      </w:pPr>
      <w:r>
        <w:rPr>
          <w:rFonts w:ascii="Georgia" w:cs="Georgia" w:eastAsia="Georgia" w:hAnsi="Georgia"/>
          <w:b/>
          <w:bCs/>
          <w:color w:val="2B2F4A"/>
          <w:sz w:val="26"/>
          <w:szCs w:val="26"/>
        </w:rPr>
        <w:t xml:space="preserve">Cognitive Behavioral Therapy (CBT) — Restructuring</w:t>
      </w:r>
    </w:p>
    <w:p>
      <w:pPr>
        <w:spacing w:after="160" w:before="0"/>
      </w:pPr>
      <w:r>
        <w:rPr>
          <w:rFonts w:ascii="Georgia" w:cs="Georgia" w:eastAsia="Georgia" w:hAnsi="Georgia"/>
          <w:color w:val="2C2C2C"/>
          <w:sz w:val="22"/>
          <w:szCs w:val="22"/>
        </w:rPr>
        <w:t xml:space="preserve">At the restructuring stage, CBT offers the skill of cognitive distortion identification. Once you can name what you feel (Root 01) and release the shame attached to it (Root 02), CBT provides tools for examining the thoughts that generate harmful patterns. Naming the distortion — catastrophizing, mind-reading, all-or-nothing thinking — does not fix the pattern. But it interrupts the automatic loop, creating space for a different response.</w:t>
      </w:r>
    </w:p>
    <w:p>
      <w:pPr>
        <w:spacing w:after="200" w:before="0"/>
      </w:pPr>
      <w:r>
        <w:t xml:space="preserve"/>
      </w:r>
    </w:p>
    <w:p>
      <w:pPr>
        <w:spacing w:after="100" w:before="240"/>
      </w:pPr>
      <w:r>
        <w:rPr>
          <w:rFonts w:ascii="Georgia" w:cs="Georgia" w:eastAsia="Georgia" w:hAnsi="Georgia"/>
          <w:b/>
          <w:bCs/>
          <w:caps/>
          <w:color w:val="C9A84C"/>
          <w:sz w:val="20"/>
          <w:szCs w:val="20"/>
        </w:rPr>
        <w:t xml:space="preserve">The Spiritual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2F4A" w:sz="20"/>
              <w:bottom w:val="none" w:color="FFFFFF" w:sz="0"/>
              <w:right w:val="none" w:color="FFFFFF" w:sz="0"/>
            </w:tcBorders>
            <w:shd w:fill="EAEBF0" w:val="clear"/>
            <w:tcMar>
              <w:top w:type="dxa" w:w="180"/>
              <w:left w:type="dxa" w:w="320"/>
              <w:bottom w:type="dxa" w:w="180"/>
              <w:right w:type="dxa" w:w="220"/>
            </w:tcMar>
          </w:tcPr>
          <w:p>
            <w:r>
              <w:rPr>
                <w:rFonts w:ascii="Georgia" w:cs="Georgia" w:eastAsia="Georgia" w:hAnsi="Georgia"/>
                <w:color w:val="2B2F4A"/>
                <w:sz w:val="22"/>
                <w:szCs w:val="22"/>
              </w:rPr>
              <w:t xml:space="preserve">Ancestor veneration requires looking honestly at lineage — the gifts and the wounds, both. The genealogical work that underlies this framework — tracing the Vincent and Vinson lines across Caswell County, the Lowcountry, southern Virginia — is, at its core, the same practice as honest self-inventory: sitting with what was passed down, what was broken, what survived, and what is yours to change. The Four Agreements ask you to be impeccable with your word. Your ancestors ask you to be honest about theirs.</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In Practice</w:t>
      </w:r>
    </w:p>
    <w:p>
      <w:pPr>
        <w:pStyle w:val="ListParagraph"/>
        <w:numPr>
          <w:ilvl w:val="0"/>
          <w:numId w:val="2"/>
        </w:numPr>
        <w:spacing w:after="80" w:before="0"/>
      </w:pPr>
      <w:r>
        <w:rPr>
          <w:rFonts w:ascii="Georgia" w:cs="Georgia" w:eastAsia="Georgia" w:hAnsi="Georgia"/>
          <w:color w:val="2C2C2C"/>
          <w:sz w:val="22"/>
          <w:szCs w:val="22"/>
        </w:rPr>
        <w:t xml:space="preserve">Four Agreements self-audit: one Agreement per week, journaling on how it appeared in your life</w:t>
      </w:r>
    </w:p>
    <w:p>
      <w:pPr>
        <w:pStyle w:val="ListParagraph"/>
        <w:numPr>
          <w:ilvl w:val="0"/>
          <w:numId w:val="2"/>
        </w:numPr>
        <w:spacing w:after="80" w:before="0"/>
      </w:pPr>
      <w:r>
        <w:rPr>
          <w:rFonts w:ascii="Georgia" w:cs="Georgia" w:eastAsia="Georgia" w:hAnsi="Georgia"/>
          <w:color w:val="2C2C2C"/>
          <w:sz w:val="22"/>
          <w:szCs w:val="22"/>
        </w:rPr>
        <w:t xml:space="preserve">SMART Recovery Cost-Benefit Analysis for a pattern or belief you want to examine</w:t>
      </w:r>
    </w:p>
    <w:p>
      <w:pPr>
        <w:pStyle w:val="ListParagraph"/>
        <w:numPr>
          <w:ilvl w:val="0"/>
          <w:numId w:val="2"/>
        </w:numPr>
        <w:spacing w:after="80" w:before="0"/>
      </w:pPr>
      <w:r>
        <w:rPr>
          <w:rFonts w:ascii="Georgia" w:cs="Georgia" w:eastAsia="Georgia" w:hAnsi="Georgia"/>
          <w:color w:val="2C2C2C"/>
          <w:sz w:val="22"/>
          <w:szCs w:val="22"/>
        </w:rPr>
        <w:t xml:space="preserve">CBT thought challenging: identify the cognitive distortion by type, dispute it with evidence</w:t>
      </w:r>
    </w:p>
    <w:p>
      <w:pPr>
        <w:pStyle w:val="ListParagraph"/>
        <w:numPr>
          <w:ilvl w:val="0"/>
          <w:numId w:val="2"/>
        </w:numPr>
        <w:spacing w:after="80" w:before="0"/>
      </w:pPr>
      <w:r>
        <w:rPr>
          <w:rFonts w:ascii="Georgia" w:cs="Georgia" w:eastAsia="Georgia" w:hAnsi="Georgia"/>
          <w:color w:val="2C2C2C"/>
          <w:sz w:val="22"/>
          <w:szCs w:val="22"/>
        </w:rPr>
        <w:t xml:space="preserve">Lineage inventory: “What in this pattern was inherited? What is mine to change?”</w:t>
      </w:r>
    </w:p>
    <w:p>
      <w:pPr>
        <w:pStyle w:val="ListParagraph"/>
        <w:numPr>
          <w:ilvl w:val="0"/>
          <w:numId w:val="2"/>
        </w:numPr>
        <w:spacing w:after="80" w:before="0"/>
      </w:pPr>
      <w:r>
        <w:rPr>
          <w:rFonts w:ascii="Georgia" w:cs="Georgia" w:eastAsia="Georgia" w:hAnsi="Georgia"/>
          <w:color w:val="2C2C2C"/>
          <w:sz w:val="22"/>
          <w:szCs w:val="22"/>
        </w:rPr>
        <w:t xml:space="preserve">Adapted MARA inventory: list your strengths, your misconceptions, and the patterns that resulted — without self-indictment</w:t>
      </w:r>
    </w:p>
    <w:p>
      <w:pPr>
        <w:spacing w:after="0" w:before="0"/>
      </w:pPr>
      <w:r>
        <w:br w:type="page"/>
      </w:r>
    </w:p>
    <w:p>
      <w:pPr>
        <w:spacing w:after="280" w:before="120"/>
      </w:pPr>
      <w:r>
        <w:rPr>
          <w:rFonts w:ascii="Georgia" w:cs="Georgia" w:eastAsia="Georgia" w:hAnsi="Georgia"/>
          <w:b/>
          <w:bCs/>
          <w:color w:val="C9A84C"/>
          <w:sz w:val="52"/>
          <w:szCs w:val="52"/>
        </w:rPr>
        <w:t xml:space="preserve">04  </w:t>
      </w:r>
      <w:r>
        <w:rPr>
          <w:rFonts w:ascii="Georgia" w:cs="Georgia" w:eastAsia="Georgia" w:hAnsi="Georgia"/>
          <w:b/>
          <w:bCs/>
          <w:color w:val="2B2F4A"/>
          <w:sz w:val="52"/>
          <w:szCs w:val="52"/>
        </w:rPr>
        <w:t xml:space="preserve">Tend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Cultivation over correction. You are not a problem to be fixed. You are a life to be tended.</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The Core Claim</w:t>
      </w:r>
    </w:p>
    <w:p>
      <w:pPr>
        <w:spacing w:after="160" w:before="0"/>
      </w:pPr>
      <w:r>
        <w:rPr>
          <w:rFonts w:ascii="Georgia" w:cs="Georgia" w:eastAsia="Georgia" w:hAnsi="Georgia"/>
          <w:color w:val="2C2C2C"/>
          <w:sz w:val="22"/>
          <w:szCs w:val="22"/>
        </w:rPr>
        <w:t xml:space="preserve">There is a difference between correction and cultivation. Correction assumes something is wrong and must be repaired. Cultivation assumes something is alive and needs sustained, loving attention to grow. Tend It is the long work — not the dramatic breakthrough, but the daily practice of creating conditions in which healing becomes possible. It is not maintenance. It is living relationship with your own becoming.</w:t>
      </w:r>
    </w:p>
    <w:p>
      <w:pPr>
        <w:spacing w:after="140" w:before="0"/>
      </w:pPr>
      <w:r>
        <w:t xml:space="preserve"/>
      </w:r>
    </w:p>
    <w:p>
      <w:pPr>
        <w:spacing w:after="100" w:before="240"/>
      </w:pPr>
      <w:r>
        <w:rPr>
          <w:rFonts w:ascii="Georgia" w:cs="Georgia" w:eastAsia="Georgia" w:hAnsi="Georgia"/>
          <w:b/>
          <w:bCs/>
          <w:caps/>
          <w:color w:val="C9A84C"/>
          <w:sz w:val="20"/>
          <w:szCs w:val="20"/>
        </w:rPr>
        <w:t xml:space="preserve">Framework Sources</w:t>
      </w:r>
    </w:p>
    <w:p>
      <w:pPr>
        <w:spacing w:after="120" w:before="280"/>
      </w:pPr>
      <w:r>
        <w:rPr>
          <w:rFonts w:ascii="Georgia" w:cs="Georgia" w:eastAsia="Georgia" w:hAnsi="Georgia"/>
          <w:b/>
          <w:bCs/>
          <w:color w:val="2B2F4A"/>
          <w:sz w:val="26"/>
          <w:szCs w:val="26"/>
        </w:rPr>
        <w:t xml:space="preserve">Recovery Dharma — The Eightfold Path</w:t>
      </w:r>
    </w:p>
    <w:p>
      <w:pPr>
        <w:spacing w:after="160" w:before="0"/>
      </w:pPr>
      <w:r>
        <w:rPr>
          <w:rFonts w:ascii="Georgia" w:cs="Georgia" w:eastAsia="Georgia" w:hAnsi="Georgia"/>
          <w:color w:val="2C2C2C"/>
          <w:sz w:val="22"/>
          <w:szCs w:val="22"/>
        </w:rPr>
        <w:t xml:space="preserve">Recovery Dharma’s Eightfold Path offers a daily ethic of cultivation: wise understanding, wise intention, wise speech, wise action, wise livelihood, wise effort, wise mindfulness, wise concentration. These are not commandments. They are an orientation — a direction to face each day, knowing you will not arrive perfectly and will not be penalized for imperfection. Within Tend It, the Eightfold Path becomes a framework for asking: how am I practicing today? Not: did I achieve today?</w:t>
      </w:r>
    </w:p>
    <w:p>
      <w:pPr>
        <w:spacing w:after="120" w:before="0"/>
      </w:pPr>
      <w:r>
        <w:t xml:space="preserve"/>
      </w:r>
    </w:p>
    <w:p>
      <w:pPr>
        <w:spacing w:after="120" w:before="280"/>
      </w:pPr>
      <w:r>
        <w:rPr>
          <w:rFonts w:ascii="Georgia" w:cs="Georgia" w:eastAsia="Georgia" w:hAnsi="Georgia"/>
          <w:b/>
          <w:bCs/>
          <w:color w:val="2B2F4A"/>
          <w:sz w:val="26"/>
          <w:szCs w:val="26"/>
        </w:rPr>
        <w:t xml:space="preserve">SMART Recovery — Balanced Living</w:t>
      </w:r>
    </w:p>
    <w:p>
      <w:pPr>
        <w:spacing w:after="160" w:before="0"/>
      </w:pPr>
      <w:r>
        <w:rPr>
          <w:rFonts w:ascii="Georgia" w:cs="Georgia" w:eastAsia="Georgia" w:hAnsi="Georgia"/>
          <w:color w:val="2C2C2C"/>
          <w:sz w:val="22"/>
          <w:szCs w:val="22"/>
        </w:rPr>
        <w:t xml:space="preserve">SMART Recovery’s fourth point — living a balanced life — asks practitioners to examine where they are depleting themselves and where they are receiving nothing in return. The Lifestyle Balance Wheel makes this visible across eight life domains, revealing where attention and care are needed. Within Tend It, this tool supports the shift from crisis management to proactive cultivation.</w:t>
      </w:r>
    </w:p>
    <w:p>
      <w:pPr>
        <w:spacing w:after="120" w:before="0"/>
      </w:pPr>
      <w:r>
        <w:t xml:space="preserve"/>
      </w:r>
    </w:p>
    <w:p>
      <w:pPr>
        <w:spacing w:after="120" w:before="280"/>
      </w:pPr>
      <w:r>
        <w:rPr>
          <w:rFonts w:ascii="Georgia" w:cs="Georgia" w:eastAsia="Georgia" w:hAnsi="Georgia"/>
          <w:b/>
          <w:bCs/>
          <w:color w:val="2B2F4A"/>
          <w:sz w:val="26"/>
          <w:szCs w:val="26"/>
        </w:rPr>
        <w:t xml:space="preserve">The Four Agreements — Always Do Your Best</w:t>
      </w:r>
    </w:p>
    <w:p>
      <w:pPr>
        <w:spacing w:after="160" w:before="0"/>
      </w:pPr>
      <w:r>
        <w:rPr>
          <w:rFonts w:ascii="Georgia" w:cs="Georgia" w:eastAsia="Georgia" w:hAnsi="Georgia"/>
          <w:color w:val="2C2C2C"/>
          <w:sz w:val="22"/>
          <w:szCs w:val="22"/>
        </w:rPr>
        <w:t xml:space="preserve">“Always do your best” is the Fourth Agreement, and it contains a clause most people miss: your best will change from moment to moment. When you are rested, your best is one thing. When you are grieving, it is another. When you are in a flare, it is another still. Tend It holds this Agreement as its ethical center: you are asked to bring what you have, not what you don’t.</w:t>
      </w:r>
    </w:p>
    <w:p>
      <w:pPr>
        <w:spacing w:after="200" w:before="0"/>
      </w:pPr>
      <w:r>
        <w:t xml:space="preserve"/>
      </w:r>
    </w:p>
    <w:p>
      <w:pPr>
        <w:spacing w:after="100" w:before="240"/>
      </w:pPr>
      <w:r>
        <w:rPr>
          <w:rFonts w:ascii="Georgia" w:cs="Georgia" w:eastAsia="Georgia" w:hAnsi="Georgia"/>
          <w:b/>
          <w:bCs/>
          <w:caps/>
          <w:color w:val="C9A84C"/>
          <w:sz w:val="20"/>
          <w:szCs w:val="20"/>
        </w:rPr>
        <w:t xml:space="preserve">The Spiritual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2F4A" w:sz="20"/>
              <w:bottom w:val="none" w:color="FFFFFF" w:sz="0"/>
              <w:right w:val="none" w:color="FFFFFF" w:sz="0"/>
            </w:tcBorders>
            <w:shd w:fill="EAEBF0" w:val="clear"/>
            <w:tcMar>
              <w:top w:type="dxa" w:w="180"/>
              <w:left w:type="dxa" w:w="320"/>
              <w:bottom w:type="dxa" w:w="180"/>
              <w:right w:type="dxa" w:w="220"/>
            </w:tcMar>
          </w:tcPr>
          <w:p>
            <w:r>
              <w:rPr>
                <w:rFonts w:ascii="Georgia" w:cs="Georgia" w:eastAsia="Georgia" w:hAnsi="Georgia"/>
                <w:color w:val="2B2F4A"/>
                <w:sz w:val="22"/>
                <w:szCs w:val="22"/>
              </w:rPr>
              <w:t xml:space="preserve">An ancestor altar is tended. Offerings are made with regularity, not with urgency. This is what cultivation over correction looks like in spiritual form — not crisis prayer, but ongoing loving attention. The dead do not only exist in grief. They exist in relationship, continued through practice. Samuel Vincent — the last of 24 children, who held the family’s history in his memory, who was himself a living archive — continues in relationship through exactly this kind of sustained attention.</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In Practice</w:t>
      </w:r>
    </w:p>
    <w:p>
      <w:pPr>
        <w:pStyle w:val="ListParagraph"/>
        <w:numPr>
          <w:ilvl w:val="0"/>
          <w:numId w:val="2"/>
        </w:numPr>
        <w:spacing w:after="80" w:before="0"/>
      </w:pPr>
      <w:r>
        <w:rPr>
          <w:rFonts w:ascii="Georgia" w:cs="Georgia" w:eastAsia="Georgia" w:hAnsi="Georgia"/>
          <w:color w:val="2C2C2C"/>
          <w:sz w:val="22"/>
          <w:szCs w:val="22"/>
        </w:rPr>
        <w:t xml:space="preserve">Recovery Dharma Eightfold Path weekly reflection — one path element per week, journaling on how it appeared</w:t>
      </w:r>
    </w:p>
    <w:p>
      <w:pPr>
        <w:pStyle w:val="ListParagraph"/>
        <w:numPr>
          <w:ilvl w:val="0"/>
          <w:numId w:val="2"/>
        </w:numPr>
        <w:spacing w:after="80" w:before="0"/>
      </w:pPr>
      <w:r>
        <w:rPr>
          <w:rFonts w:ascii="Georgia" w:cs="Georgia" w:eastAsia="Georgia" w:hAnsi="Georgia"/>
          <w:color w:val="2C2C2C"/>
          <w:sz w:val="22"/>
          <w:szCs w:val="22"/>
        </w:rPr>
        <w:t xml:space="preserve">SMART Lifestyle Balance Wheel — quarterly assessment across eight life domains</w:t>
      </w:r>
    </w:p>
    <w:p>
      <w:pPr>
        <w:pStyle w:val="ListParagraph"/>
        <w:numPr>
          <w:ilvl w:val="0"/>
          <w:numId w:val="2"/>
        </w:numPr>
        <w:spacing w:after="80" w:before="0"/>
      </w:pPr>
      <w:r>
        <w:rPr>
          <w:rFonts w:ascii="Georgia" w:cs="Georgia" w:eastAsia="Georgia" w:hAnsi="Georgia"/>
          <w:color w:val="2C2C2C"/>
          <w:sz w:val="22"/>
          <w:szCs w:val="22"/>
        </w:rPr>
        <w:t xml:space="preserve">“What does my best look like today?” — daily recalibration, written or spoken aloud</w:t>
      </w:r>
    </w:p>
    <w:p>
      <w:pPr>
        <w:pStyle w:val="ListParagraph"/>
        <w:numPr>
          <w:ilvl w:val="0"/>
          <w:numId w:val="2"/>
        </w:numPr>
        <w:spacing w:after="80" w:before="0"/>
      </w:pPr>
      <w:r>
        <w:rPr>
          <w:rFonts w:ascii="Georgia" w:cs="Georgia" w:eastAsia="Georgia" w:hAnsi="Georgia"/>
          <w:color w:val="2C2C2C"/>
          <w:sz w:val="22"/>
          <w:szCs w:val="22"/>
        </w:rPr>
        <w:t xml:space="preserve">One small act of cultivation daily — not correction, not crisis response, but tending</w:t>
      </w:r>
    </w:p>
    <w:p>
      <w:pPr>
        <w:pStyle w:val="ListParagraph"/>
        <w:numPr>
          <w:ilvl w:val="0"/>
          <w:numId w:val="2"/>
        </w:numPr>
        <w:spacing w:after="80" w:before="0"/>
      </w:pPr>
      <w:r>
        <w:rPr>
          <w:rFonts w:ascii="Georgia" w:cs="Georgia" w:eastAsia="Georgia" w:hAnsi="Georgia"/>
          <w:color w:val="2C2C2C"/>
          <w:sz w:val="22"/>
          <w:szCs w:val="22"/>
        </w:rPr>
        <w:t xml:space="preserve">Altar practice as routine — named here as context for the framework’s spiritual ground</w:t>
      </w:r>
    </w:p>
    <w:p>
      <w:pPr>
        <w:spacing w:after="0" w:before="0"/>
      </w:pPr>
      <w:r>
        <w:br w:type="page"/>
      </w:r>
    </w:p>
    <w:p>
      <w:pPr>
        <w:spacing w:after="280" w:before="120"/>
      </w:pPr>
      <w:r>
        <w:rPr>
          <w:rFonts w:ascii="Georgia" w:cs="Georgia" w:eastAsia="Georgia" w:hAnsi="Georgia"/>
          <w:b/>
          <w:bCs/>
          <w:color w:val="C9A84C"/>
          <w:sz w:val="52"/>
          <w:szCs w:val="52"/>
        </w:rPr>
        <w:t xml:space="preserve">05  </w:t>
      </w:r>
      <w:r>
        <w:rPr>
          <w:rFonts w:ascii="Georgia" w:cs="Georgia" w:eastAsia="Georgia" w:hAnsi="Georgia"/>
          <w:b/>
          <w:bCs/>
          <w:color w:val="2B2F4A"/>
          <w:sz w:val="52"/>
          <w:szCs w:val="52"/>
        </w:rPr>
        <w:t xml:space="preserve">Root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Connection is not extra. It is the ground everything else grows from.</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The Core Claim</w:t>
      </w:r>
    </w:p>
    <w:p>
      <w:pPr>
        <w:spacing w:after="160" w:before="0"/>
      </w:pPr>
      <w:r>
        <w:rPr>
          <w:rFonts w:ascii="Georgia" w:cs="Georgia" w:eastAsia="Georgia" w:hAnsi="Georgia"/>
          <w:color w:val="2C2C2C"/>
          <w:sz w:val="22"/>
          <w:szCs w:val="22"/>
        </w:rPr>
        <w:t xml:space="preserve">Healing in isolation is harder than it has to be. Not because individual work is insufficient, but because the wounds that bring most people to this framework were relational in origin — inflicted by systems, families, institutions, and communities — and relational healing is part of their repair. Root It does not ask you to perform community or manufacture belonging. It asks you to find the people who will hold your story without fixing it, and to become that for someone else.</w:t>
      </w:r>
    </w:p>
    <w:p>
      <w:pPr>
        <w:spacing w:after="140" w:before="0"/>
      </w:pPr>
      <w:r>
        <w:t xml:space="preserve"/>
      </w:r>
    </w:p>
    <w:p>
      <w:pPr>
        <w:spacing w:after="100" w:before="240"/>
      </w:pPr>
      <w:r>
        <w:rPr>
          <w:rFonts w:ascii="Georgia" w:cs="Georgia" w:eastAsia="Georgia" w:hAnsi="Georgia"/>
          <w:b/>
          <w:bCs/>
          <w:caps/>
          <w:color w:val="C9A84C"/>
          <w:sz w:val="20"/>
          <w:szCs w:val="20"/>
        </w:rPr>
        <w:t xml:space="preserve">Framework Sources</w:t>
      </w:r>
    </w:p>
    <w:p>
      <w:pPr>
        <w:spacing w:after="120" w:before="280"/>
      </w:pPr>
      <w:r>
        <w:rPr>
          <w:rFonts w:ascii="Georgia" w:cs="Georgia" w:eastAsia="Georgia" w:hAnsi="Georgia"/>
          <w:b/>
          <w:bCs/>
          <w:color w:val="2B2F4A"/>
          <w:sz w:val="26"/>
          <w:szCs w:val="26"/>
        </w:rPr>
        <w:t xml:space="preserve">Alcoholics Anonymous and MARA — The Traditions</w:t>
      </w:r>
    </w:p>
    <w:p>
      <w:pPr>
        <w:spacing w:after="160" w:before="0"/>
      </w:pPr>
      <w:r>
        <w:rPr>
          <w:rFonts w:ascii="Georgia" w:cs="Georgia" w:eastAsia="Georgia" w:hAnsi="Georgia"/>
          <w:color w:val="2C2C2C"/>
          <w:sz w:val="22"/>
          <w:szCs w:val="22"/>
        </w:rPr>
        <w:t xml:space="preserve">Both AA and MARA organize their community practices around Traditions that embed an ethics of collective care. AA’s First Tradition: “Our common welfare should come first; personal recovery depends upon A.A. unity.” MARA’s equivalent: “As a group, we should help each other to maintain our common welfare; our recovery may depend upon our unity.” The Traditions understand what individual-focused wellness culture often misses: personal recovery is not separable from collective health. We do not heal alone.</w:t>
      </w:r>
    </w:p>
    <w:p>
      <w:pPr>
        <w:spacing w:after="120" w:before="0"/>
      </w:pPr>
      <w:r>
        <w:t xml:space="preserve"/>
      </w:r>
    </w:p>
    <w:p>
      <w:pPr>
        <w:spacing w:after="120" w:before="280"/>
      </w:pPr>
      <w:r>
        <w:rPr>
          <w:rFonts w:ascii="Georgia" w:cs="Georgia" w:eastAsia="Georgia" w:hAnsi="Georgia"/>
          <w:b/>
          <w:bCs/>
          <w:color w:val="2B2F4A"/>
          <w:sz w:val="26"/>
          <w:szCs w:val="26"/>
        </w:rPr>
        <w:t xml:space="preserve">Recovery Dharma — Sangha</w:t>
      </w:r>
    </w:p>
    <w:p>
      <w:pPr>
        <w:spacing w:after="160" w:before="0"/>
      </w:pPr>
      <w:r>
        <w:rPr>
          <w:rFonts w:ascii="Georgia" w:cs="Georgia" w:eastAsia="Georgia" w:hAnsi="Georgia"/>
          <w:color w:val="2C2C2C"/>
          <w:sz w:val="22"/>
          <w:szCs w:val="22"/>
        </w:rPr>
        <w:t xml:space="preserve">Recovery Dharma’s understanding of sangha places community at the center of the recovery practice, not at its periphery. The sangha is not a support structure for the real work. The sangha is part of the real work. Within Midnight Magnolia, this principle shapes how community is designed: not as an add-on to content, but as a healing environment in its own right.</w:t>
      </w:r>
    </w:p>
    <w:p>
      <w:pPr>
        <w:spacing w:after="200" w:before="0"/>
      </w:pPr>
      <w:r>
        <w:t xml:space="preserve"/>
      </w:r>
    </w:p>
    <w:p>
      <w:pPr>
        <w:spacing w:after="100" w:before="240"/>
      </w:pPr>
      <w:r>
        <w:rPr>
          <w:rFonts w:ascii="Georgia" w:cs="Georgia" w:eastAsia="Georgia" w:hAnsi="Georgia"/>
          <w:b/>
          <w:bCs/>
          <w:caps/>
          <w:color w:val="C9A84C"/>
          <w:sz w:val="20"/>
          <w:szCs w:val="20"/>
        </w:rPr>
        <w:t xml:space="preserve">The Spiritual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2F4A" w:sz="20"/>
              <w:bottom w:val="none" w:color="FFFFFF" w:sz="0"/>
              <w:right w:val="none" w:color="FFFFFF" w:sz="0"/>
            </w:tcBorders>
            <w:shd w:fill="EAEBF0" w:val="clear"/>
            <w:tcMar>
              <w:top w:type="dxa" w:w="180"/>
              <w:left w:type="dxa" w:w="320"/>
              <w:bottom w:type="dxa" w:w="180"/>
              <w:right w:type="dxa" w:w="220"/>
            </w:tcMar>
          </w:tcPr>
          <w:p>
            <w:r>
              <w:rPr>
                <w:rFonts w:ascii="Georgia" w:cs="Georgia" w:eastAsia="Georgia" w:hAnsi="Georgia"/>
                <w:color w:val="2B2F4A"/>
                <w:sz w:val="22"/>
                <w:szCs w:val="22"/>
              </w:rPr>
              <w:t xml:space="preserve">Ancestor veneration is, at its most fundamental, a practice of community extending across time. The Lowcountry roots of this framework — the Gullah Geechee spiritual tradition, the African diasporic thread that hoodoo carries — understand community as medicine not merely in metaphor but in practice. The line between the living and the dead is permeable. You do not belong only to living people. You belong to a lineage. Root It holds this as its deepest claim: you come from people, and those people are still with you.</w:t>
            </w:r>
          </w:p>
        </w:tc>
      </w:tr>
    </w:tbl>
    <w:p>
      <w:pPr>
        <w:spacing w:after="200" w:before="0"/>
      </w:pPr>
      <w:r>
        <w:t xml:space="preserve"/>
      </w:r>
    </w:p>
    <w:p>
      <w:pPr>
        <w:spacing w:after="100" w:before="240"/>
      </w:pPr>
      <w:r>
        <w:rPr>
          <w:rFonts w:ascii="Georgia" w:cs="Georgia" w:eastAsia="Georgia" w:hAnsi="Georgia"/>
          <w:b/>
          <w:bCs/>
          <w:caps/>
          <w:color w:val="C9A84C"/>
          <w:sz w:val="20"/>
          <w:szCs w:val="20"/>
        </w:rPr>
        <w:t xml:space="preserve">In Practice</w:t>
      </w:r>
    </w:p>
    <w:p>
      <w:pPr>
        <w:pStyle w:val="ListParagraph"/>
        <w:numPr>
          <w:ilvl w:val="0"/>
          <w:numId w:val="2"/>
        </w:numPr>
        <w:spacing w:after="80" w:before="0"/>
      </w:pPr>
      <w:r>
        <w:rPr>
          <w:rFonts w:ascii="Georgia" w:cs="Georgia" w:eastAsia="Georgia" w:hAnsi="Georgia"/>
          <w:color w:val="2C2C2C"/>
          <w:sz w:val="22"/>
          <w:szCs w:val="22"/>
        </w:rPr>
        <w:t xml:space="preserve">Recovery meeting attendance — AA, MARA, Recovery Dharma, or the Midnight Magnolia community container</w:t>
      </w:r>
    </w:p>
    <w:p>
      <w:pPr>
        <w:pStyle w:val="ListParagraph"/>
        <w:numPr>
          <w:ilvl w:val="0"/>
          <w:numId w:val="2"/>
        </w:numPr>
        <w:spacing w:after="80" w:before="0"/>
      </w:pPr>
      <w:r>
        <w:rPr>
          <w:rFonts w:ascii="Georgia" w:cs="Georgia" w:eastAsia="Georgia" w:hAnsi="Georgia"/>
          <w:color w:val="2C2C2C"/>
          <w:sz w:val="22"/>
          <w:szCs w:val="22"/>
        </w:rPr>
        <w:t xml:space="preserve">Witness practice: allow someone else to hold your story this week without asking for advice or resolution</w:t>
      </w:r>
    </w:p>
    <w:p>
      <w:pPr>
        <w:pStyle w:val="ListParagraph"/>
        <w:numPr>
          <w:ilvl w:val="0"/>
          <w:numId w:val="2"/>
        </w:numPr>
        <w:spacing w:after="80" w:before="0"/>
      </w:pPr>
      <w:r>
        <w:rPr>
          <w:rFonts w:ascii="Georgia" w:cs="Georgia" w:eastAsia="Georgia" w:hAnsi="Georgia"/>
          <w:color w:val="2C2C2C"/>
          <w:sz w:val="22"/>
          <w:szCs w:val="22"/>
        </w:rPr>
        <w:t xml:space="preserve">Community contribution: one act of offering this week, even from a depleted place</w:t>
      </w:r>
    </w:p>
    <w:p>
      <w:pPr>
        <w:pStyle w:val="ListParagraph"/>
        <w:numPr>
          <w:ilvl w:val="0"/>
          <w:numId w:val="2"/>
        </w:numPr>
        <w:spacing w:after="80" w:before="0"/>
      </w:pPr>
      <w:r>
        <w:rPr>
          <w:rFonts w:ascii="Georgia" w:cs="Georgia" w:eastAsia="Georgia" w:hAnsi="Georgia"/>
          <w:color w:val="2C2C2C"/>
          <w:sz w:val="22"/>
          <w:szCs w:val="22"/>
        </w:rPr>
        <w:t xml:space="preserve">AA or MARA Tradition 1 reflection: “Our common welfare should come first” — what does this mean in your current community?</w:t>
      </w:r>
    </w:p>
    <w:p>
      <w:pPr>
        <w:pStyle w:val="ListParagraph"/>
        <w:numPr>
          <w:ilvl w:val="0"/>
          <w:numId w:val="2"/>
        </w:numPr>
        <w:spacing w:after="80" w:before="0"/>
      </w:pPr>
      <w:r>
        <w:rPr>
          <w:rFonts w:ascii="Georgia" w:cs="Georgia" w:eastAsia="Georgia" w:hAnsi="Georgia"/>
          <w:color w:val="2C2C2C"/>
          <w:sz w:val="22"/>
          <w:szCs w:val="22"/>
        </w:rPr>
        <w:t xml:space="preserve">Ancestor acknowledgment practice — held privately, as part of the spiritual ground of this pillar</w:t>
      </w:r>
    </w:p>
    <w:p>
      <w:pPr>
        <w:spacing w:after="0" w:before="0"/>
      </w:pPr>
      <w:r>
        <w:br w:type="page"/>
      </w:r>
    </w:p>
    <w:p>
      <w:pPr>
        <w:pStyle w:val="Heading1"/>
        <w:spacing w:after="240" w:before="480"/>
      </w:pPr>
      <w:r>
        <w:rPr>
          <w:rFonts w:ascii="Georgia" w:cs="Georgia" w:eastAsia="Georgia" w:hAnsi="Georgia"/>
          <w:b/>
          <w:bCs/>
          <w:color w:val="2B2F4A"/>
          <w:sz w:val="36"/>
          <w:szCs w:val="36"/>
        </w:rPr>
        <w:t xml:space="preserve">The Layered Access Model</w:t>
      </w:r>
    </w:p>
    <w:p>
      <w:pPr>
        <w:pBdr>
          <w:bottom w:val="single" w:color="C9A84C" w:sz="6" w:space="1"/>
        </w:pBdr>
        <w:spacing w:after="200" w:before="160"/>
      </w:pPr>
    </w:p>
    <w:p>
      <w:pPr>
        <w:spacing w:after="160" w:before="0"/>
      </w:pPr>
      <w:r>
        <w:rPr>
          <w:rFonts w:ascii="Georgia" w:cs="Georgia" w:eastAsia="Georgia" w:hAnsi="Georgia"/>
          <w:color w:val="2C2C2C"/>
          <w:sz w:val="22"/>
          <w:szCs w:val="22"/>
        </w:rPr>
        <w:t xml:space="preserve">This framework contains knowledge that is not equally available at all levels of relationship. The Layered Access Model describes how the spiritual and cultural context of The Five Roots is held — present in the framework, protected from appropriation.</w:t>
      </w:r>
    </w:p>
    <w:p>
      <w:pPr>
        <w:spacing w:after="140" w:before="0"/>
      </w:pPr>
      <w:r>
        <w:t xml:space="preserve"/>
      </w:r>
    </w:p>
    <w:p>
      <w:pPr>
        <w:spacing w:after="120" w:before="280"/>
      </w:pPr>
      <w:r>
        <w:rPr>
          <w:rFonts w:ascii="Georgia" w:cs="Georgia" w:eastAsia="Georgia" w:hAnsi="Georgia"/>
          <w:b/>
          <w:bCs/>
          <w:color w:val="2B2F4A"/>
          <w:sz w:val="26"/>
          <w:szCs w:val="26"/>
        </w:rPr>
        <w:t xml:space="preserve">Public Framework</w:t>
      </w:r>
    </w:p>
    <w:p>
      <w:pPr>
        <w:spacing w:after="160" w:before="0"/>
      </w:pPr>
      <w:r>
        <w:rPr>
          <w:rFonts w:ascii="Georgia" w:cs="Georgia" w:eastAsia="Georgia" w:hAnsi="Georgia"/>
          <w:color w:val="2C2C2C"/>
          <w:sz w:val="22"/>
          <w:szCs w:val="22"/>
        </w:rPr>
        <w:t xml:space="preserve">At the public layer, the framework is spiritually grounded and ancestrally informed. The Ancestral Ground is named. Hoodoo, mediumship, and ancestor veneration are identified as the spiritual foundation. The cultural roots — Black Southern, Lowcountry — are stated as context. None of this is elaborated for public consumption. The practitioner’s testimony is present; instruction is not.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Public language: “Spritually grounded in Black Southern ancestral tradition.” The ground is named. The curriculum is not.</w:t>
            </w:r>
          </w:p>
        </w:tc>
      </w:tr>
    </w:tbl>
    <w:p>
      <w:pPr>
        <w:spacing w:after="200" w:before="0"/>
      </w:pPr>
      <w:r>
        <w:t xml:space="preserve"/>
      </w:r>
    </w:p>
    <w:p>
      <w:pPr>
        <w:spacing w:after="120" w:before="280"/>
      </w:pPr>
      <w:r>
        <w:rPr>
          <w:rFonts w:ascii="Georgia" w:cs="Georgia" w:eastAsia="Georgia" w:hAnsi="Georgia"/>
          <w:b/>
          <w:bCs/>
          <w:color w:val="2B2F4A"/>
          <w:sz w:val="26"/>
          <w:szCs w:val="26"/>
        </w:rPr>
        <w:t xml:space="preserve">Magnolia Circle — Community Layer</w:t>
      </w:r>
    </w:p>
    <w:p>
      <w:pPr>
        <w:spacing w:after="160" w:before="0"/>
      </w:pPr>
      <w:r>
        <w:rPr>
          <w:rFonts w:ascii="Georgia" w:cs="Georgia" w:eastAsia="Georgia" w:hAnsi="Georgia"/>
          <w:color w:val="2C2C2C"/>
          <w:sz w:val="22"/>
          <w:szCs w:val="22"/>
        </w:rPr>
        <w:t xml:space="preserve">Within the Magnolia Circle membership community, cultural and spiritual context becomes available through relationship and reciprocity. Members who have demonstrated care and sustained engagement may encounter deeper exploration of how the Ancestral Ground informs the framework. This is not a transactional exchange. Access is earned through relationship, not purchased through membership tier alone.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Community language: “Within this container, we explore the cultural roots of this work together — with care, with context, and with the understanding that some knowledge belongs to lineage, not to curriculum.”</w:t>
            </w:r>
          </w:p>
        </w:tc>
      </w:tr>
    </w:tbl>
    <w:p>
      <w:pPr>
        <w:spacing w:after="200" w:before="0"/>
      </w:pPr>
      <w:r>
        <w:t xml:space="preserve"/>
      </w:r>
    </w:p>
    <w:p>
      <w:pPr>
        <w:spacing w:after="120" w:before="280"/>
      </w:pPr>
      <w:r>
        <w:rPr>
          <w:rFonts w:ascii="Georgia" w:cs="Georgia" w:eastAsia="Georgia" w:hAnsi="Georgia"/>
          <w:b/>
          <w:bCs/>
          <w:color w:val="2B2F4A"/>
          <w:sz w:val="26"/>
          <w:szCs w:val="26"/>
        </w:rPr>
        <w:t xml:space="preserve">Sacred — Held Privately</w:t>
      </w:r>
    </w:p>
    <w:p>
      <w:pPr>
        <w:spacing w:after="160" w:before="0"/>
      </w:pPr>
      <w:r>
        <w:rPr>
          <w:rFonts w:ascii="Georgia" w:cs="Georgia" w:eastAsia="Georgia" w:hAnsi="Georgia"/>
          <w:color w:val="2C2C2C"/>
          <w:sz w:val="22"/>
          <w:szCs w:val="22"/>
        </w:rPr>
        <w:t xml:space="preserve">The innermost layer does not enter the brand at any level. This includes: specific ritual practices, the names of ancestors, altar objects and arrangements, the particular register of the practitioner’s mediumship, and any knowledge received through spiritual practice that has not been explicitly released for sharing. This layer is held privately not out of secrecy, but out of sovereignty. Not everything needs to be content.</w:t>
      </w:r>
    </w:p>
    <w:p>
      <w:pPr>
        <w:spacing w:after="0" w:before="0"/>
      </w:pPr>
      <w:r>
        <w:br w:type="page"/>
      </w:r>
    </w:p>
    <w:p>
      <w:pPr>
        <w:pStyle w:val="Heading1"/>
        <w:spacing w:after="240" w:before="480"/>
      </w:pPr>
      <w:r>
        <w:rPr>
          <w:rFonts w:ascii="Georgia" w:cs="Georgia" w:eastAsia="Georgia" w:hAnsi="Georgia"/>
          <w:b/>
          <w:bCs/>
          <w:color w:val="2B2F4A"/>
          <w:sz w:val="36"/>
          <w:szCs w:val="36"/>
        </w:rPr>
        <w:t xml:space="preserve">Brand Language Guide</w:t>
      </w:r>
    </w:p>
    <w:p>
      <w:pPr>
        <w:pBdr>
          <w:bottom w:val="single" w:color="C9A84C" w:sz="6" w:space="1"/>
        </w:pBdr>
        <w:spacing w:after="200" w:before="160"/>
      </w:pPr>
    </w:p>
    <w:p>
      <w:pPr>
        <w:spacing w:after="160" w:before="0"/>
      </w:pPr>
      <w:r>
        <w:rPr>
          <w:rFonts w:ascii="Georgia" w:cs="Georgia" w:eastAsia="Georgia" w:hAnsi="Georgia"/>
          <w:color w:val="2C2C2C"/>
          <w:sz w:val="22"/>
          <w:szCs w:val="22"/>
        </w:rPr>
        <w:t xml:space="preserve">The following guidelines govern how The Five Roots framework is described in public-facing Midnight Magnolia communications. These are not stylistic preferences. They are ethical commitments.</w:t>
      </w:r>
    </w:p>
    <w:p>
      <w:pPr>
        <w:spacing w:after="140" w:before="0"/>
      </w:pPr>
      <w:r>
        <w:t xml:space="preserve"/>
      </w:r>
    </w:p>
    <w:p>
      <w:pPr>
        <w:spacing w:after="100" w:before="240"/>
      </w:pPr>
      <w:r>
        <w:rPr>
          <w:rFonts w:ascii="Georgia" w:cs="Georgia" w:eastAsia="Georgia" w:hAnsi="Georgia"/>
          <w:b/>
          <w:bCs/>
          <w:caps/>
          <w:color w:val="C9A84C"/>
          <w:sz w:val="20"/>
          <w:szCs w:val="20"/>
        </w:rPr>
        <w:t xml:space="preserve">Use These Phrases</w:t>
      </w:r>
    </w:p>
    <w:p>
      <w:pPr>
        <w:pStyle w:val="ListParagraph"/>
        <w:numPr>
          <w:ilvl w:val="0"/>
          <w:numId w:val="2"/>
        </w:numPr>
        <w:spacing w:after="80" w:before="0"/>
      </w:pPr>
      <w:r>
        <w:rPr>
          <w:rFonts w:ascii="Georgia" w:cs="Georgia" w:eastAsia="Georgia" w:hAnsi="Georgia"/>
          <w:color w:val="2C2C2C"/>
          <w:sz w:val="22"/>
          <w:szCs w:val="22"/>
        </w:rPr>
        <w:t xml:space="preserve">“Informed by” — not “drawing from” (which implies extraction) or “inspired by” (which implies distance)</w:t>
      </w:r>
    </w:p>
    <w:p>
      <w:pPr>
        <w:pStyle w:val="ListParagraph"/>
        <w:numPr>
          <w:ilvl w:val="0"/>
          <w:numId w:val="2"/>
        </w:numPr>
        <w:spacing w:after="80" w:before="0"/>
      </w:pPr>
      <w:r>
        <w:rPr>
          <w:rFonts w:ascii="Georgia" w:cs="Georgia" w:eastAsia="Georgia" w:hAnsi="Georgia"/>
          <w:color w:val="2C2C2C"/>
          <w:sz w:val="22"/>
          <w:szCs w:val="22"/>
        </w:rPr>
        <w:t xml:space="preserve">“My practice” — not “this practice” or “the practice” (which universalizes something lineage-specific)</w:t>
      </w:r>
    </w:p>
    <w:p>
      <w:pPr>
        <w:pStyle w:val="ListParagraph"/>
        <w:numPr>
          <w:ilvl w:val="0"/>
          <w:numId w:val="2"/>
        </w:numPr>
        <w:spacing w:after="80" w:before="0"/>
      </w:pPr>
      <w:r>
        <w:rPr>
          <w:rFonts w:ascii="Georgia" w:cs="Georgia" w:eastAsia="Georgia" w:hAnsi="Georgia"/>
          <w:color w:val="2C2C2C"/>
          <w:sz w:val="22"/>
          <w:szCs w:val="22"/>
        </w:rPr>
        <w:t xml:space="preserve">“Ancestral grounded” — not “rooted in African spirituality” as a blanket term (which collapses distinct traditions)</w:t>
      </w:r>
    </w:p>
    <w:p>
      <w:pPr>
        <w:pStyle w:val="ListParagraph"/>
        <w:numPr>
          <w:ilvl w:val="0"/>
          <w:numId w:val="2"/>
        </w:numPr>
        <w:spacing w:after="80" w:before="0"/>
      </w:pPr>
      <w:r>
        <w:rPr>
          <w:rFonts w:ascii="Georgia" w:cs="Georgia" w:eastAsia="Georgia" w:hAnsi="Georgia"/>
          <w:color w:val="2C2C2C"/>
          <w:sz w:val="22"/>
          <w:szCs w:val="22"/>
        </w:rPr>
        <w:t xml:space="preserve">“Spirtually grounded in Black Southern ancestral tradition” — the full phrase, used intact</w:t>
      </w:r>
    </w:p>
    <w:p>
      <w:pPr>
        <w:pStyle w:val="ListParagraph"/>
        <w:numPr>
          <w:ilvl w:val="0"/>
          <w:numId w:val="2"/>
        </w:numPr>
        <w:spacing w:after="80" w:before="0"/>
      </w:pPr>
      <w:r>
        <w:rPr>
          <w:rFonts w:ascii="Georgia" w:cs="Georgia" w:eastAsia="Georgia" w:hAnsi="Georgia"/>
          <w:color w:val="2C2C2C"/>
          <w:sz w:val="22"/>
          <w:szCs w:val="22"/>
        </w:rPr>
        <w:t xml:space="preserve">“The Ancestral Ground” — use this name for the spiritual foundation layer</w:t>
      </w:r>
    </w:p>
    <w:p>
      <w:pPr>
        <w:spacing w:after="200" w:before="0"/>
      </w:pPr>
      <w:r>
        <w:t xml:space="preserve"/>
      </w:r>
    </w:p>
    <w:p>
      <w:pPr>
        <w:spacing w:after="100" w:before="240"/>
      </w:pPr>
      <w:r>
        <w:rPr>
          <w:rFonts w:ascii="Georgia" w:cs="Georgia" w:eastAsia="Georgia" w:hAnsi="Georgia"/>
          <w:b/>
          <w:bCs/>
          <w:caps/>
          <w:color w:val="C9A84C"/>
          <w:sz w:val="20"/>
          <w:szCs w:val="20"/>
        </w:rPr>
        <w:t xml:space="preserve">Avoid These Patterns</w:t>
      </w:r>
    </w:p>
    <w:p>
      <w:pPr>
        <w:pStyle w:val="ListParagraph"/>
        <w:numPr>
          <w:ilvl w:val="0"/>
          <w:numId w:val="2"/>
        </w:numPr>
        <w:spacing w:after="80" w:before="0"/>
      </w:pPr>
      <w:r>
        <w:rPr>
          <w:rFonts w:ascii="Georgia" w:cs="Georgia" w:eastAsia="Georgia" w:hAnsi="Georgia"/>
          <w:color w:val="2C2C2C"/>
          <w:sz w:val="22"/>
          <w:szCs w:val="22"/>
        </w:rPr>
        <w:t xml:space="preserve">Explaining the spiritual practices in public content — naming is sufficient</w:t>
      </w:r>
    </w:p>
    <w:p>
      <w:pPr>
        <w:pStyle w:val="ListParagraph"/>
        <w:numPr>
          <w:ilvl w:val="0"/>
          <w:numId w:val="2"/>
        </w:numPr>
        <w:spacing w:after="80" w:before="0"/>
      </w:pPr>
      <w:r>
        <w:rPr>
          <w:rFonts w:ascii="Georgia" w:cs="Georgia" w:eastAsia="Georgia" w:hAnsi="Georgia"/>
          <w:color w:val="2C2C2C"/>
          <w:sz w:val="22"/>
          <w:szCs w:val="22"/>
        </w:rPr>
        <w:t xml:space="preserve">Using hoodoo, mediumship, or ancestor veneration as metaphors available to non-practitioners</w:t>
      </w:r>
    </w:p>
    <w:p>
      <w:pPr>
        <w:pStyle w:val="ListParagraph"/>
        <w:numPr>
          <w:ilvl w:val="0"/>
          <w:numId w:val="2"/>
        </w:numPr>
        <w:spacing w:after="80" w:before="0"/>
      </w:pPr>
      <w:r>
        <w:rPr>
          <w:rFonts w:ascii="Georgia" w:cs="Georgia" w:eastAsia="Georgia" w:hAnsi="Georgia"/>
          <w:color w:val="2C2C2C"/>
          <w:sz w:val="22"/>
          <w:szCs w:val="22"/>
        </w:rPr>
        <w:t xml:space="preserve">“Inspired by indigenous or ancient wisdom” — this erases specific lineage with a generic term</w:t>
      </w:r>
    </w:p>
    <w:p>
      <w:pPr>
        <w:pStyle w:val="ListParagraph"/>
        <w:numPr>
          <w:ilvl w:val="0"/>
          <w:numId w:val="2"/>
        </w:numPr>
        <w:spacing w:after="80" w:before="0"/>
      </w:pPr>
      <w:r>
        <w:rPr>
          <w:rFonts w:ascii="Georgia" w:cs="Georgia" w:eastAsia="Georgia" w:hAnsi="Georgia"/>
          <w:color w:val="2C2C2C"/>
          <w:sz w:val="22"/>
          <w:szCs w:val="22"/>
        </w:rPr>
        <w:t xml:space="preserve">Inviting public audiences to “try” practices that belong to specific closed traditions</w:t>
      </w:r>
    </w:p>
    <w:p>
      <w:pPr>
        <w:pStyle w:val="ListParagraph"/>
        <w:numPr>
          <w:ilvl w:val="0"/>
          <w:numId w:val="2"/>
        </w:numPr>
        <w:spacing w:after="80" w:before="0"/>
      </w:pPr>
      <w:r>
        <w:rPr>
          <w:rFonts w:ascii="Georgia" w:cs="Georgia" w:eastAsia="Georgia" w:hAnsi="Georgia"/>
          <w:color w:val="2C2C2C"/>
          <w:sz w:val="22"/>
          <w:szCs w:val="22"/>
        </w:rPr>
        <w:t xml:space="preserve">Framing the spiritual layer as “accessible” — it is present, not universally available</w:t>
      </w:r>
    </w:p>
    <w:p>
      <w:pPr>
        <w:spacing w:after="200" w:before="0"/>
      </w:pPr>
      <w:r>
        <w:t xml:space="preserve"/>
      </w:r>
    </w:p>
    <w:p>
      <w:pPr>
        <w:spacing w:after="100" w:before="240"/>
      </w:pPr>
      <w:r>
        <w:rPr>
          <w:rFonts w:ascii="Georgia" w:cs="Georgia" w:eastAsia="Georgia" w:hAnsi="Georgia"/>
          <w:b/>
          <w:bCs/>
          <w:caps/>
          <w:color w:val="C9A84C"/>
          <w:sz w:val="20"/>
          <w:szCs w:val="20"/>
        </w:rPr>
        <w:t xml:space="preserve">On Testimony vs. Instruction</w:t>
      </w:r>
    </w:p>
    <w:p>
      <w:pPr>
        <w:spacing w:after="160" w:before="0"/>
      </w:pPr>
      <w:r>
        <w:rPr>
          <w:rFonts w:ascii="Georgia" w:cs="Georgia" w:eastAsia="Georgia" w:hAnsi="Georgia"/>
          <w:color w:val="2C2C2C"/>
          <w:sz w:val="22"/>
          <w:szCs w:val="22"/>
        </w:rPr>
        <w:t xml:space="preserve">The distinction that governs all public language about the spiritual layer: testimony is yours to give. Instruction is not yours to offer unless you carry the lineage it comes from.</w:t>
      </w:r>
    </w:p>
    <w:p>
      <w:pPr>
        <w:spacing w:after="120" w:before="0"/>
      </w:pPr>
      <w:r>
        <w:t xml:space="preserve"/>
      </w:r>
    </w:p>
    <w:p>
      <w:pPr>
        <w:spacing w:after="160" w:before="0"/>
      </w:pPr>
      <w:r>
        <w:rPr>
          <w:rFonts w:ascii="Georgia" w:cs="Georgia" w:eastAsia="Georgia" w:hAnsi="Georgia"/>
          <w:color w:val="2C2C2C"/>
          <w:sz w:val="22"/>
          <w:szCs w:val="22"/>
        </w:rPr>
        <w:t xml:space="preserve">Testimony sounds like: “My relationship with my ancestors has shaped how I understand what it means to heal across generations.”</w:t>
      </w:r>
    </w:p>
    <w:p>
      <w:pPr>
        <w:spacing w:after="120" w:before="0"/>
      </w:pPr>
      <w:r>
        <w:t xml:space="preserve"/>
      </w:r>
    </w:p>
    <w:p>
      <w:pPr>
        <w:spacing w:after="160" w:before="0"/>
      </w:pPr>
      <w:r>
        <w:rPr>
          <w:rFonts w:ascii="Georgia" w:cs="Georgia" w:eastAsia="Georgia" w:hAnsi="Georgia"/>
          <w:color w:val="2C2C2C"/>
          <w:sz w:val="22"/>
          <w:szCs w:val="22"/>
        </w:rPr>
        <w:t xml:space="preserve">Instruction sounds like: “Here is how to build an ancestor altar.” The second belongs in the sacred layer, if it belongs in the brand at all.</w:t>
      </w:r>
    </w:p>
    <w:p>
      <w:pPr>
        <w:spacing w:after="0" w:before="0"/>
      </w:pPr>
      <w:r>
        <w:br w:type="page"/>
      </w:r>
    </w:p>
    <w:p>
      <w:pPr>
        <w:pStyle w:val="Heading1"/>
        <w:spacing w:after="240" w:before="480"/>
      </w:pPr>
      <w:r>
        <w:rPr>
          <w:rFonts w:ascii="Georgia" w:cs="Georgia" w:eastAsia="Georgia" w:hAnsi="Georgia"/>
          <w:b/>
          <w:bCs/>
          <w:color w:val="2B2F4A"/>
          <w:sz w:val="36"/>
          <w:szCs w:val="36"/>
        </w:rPr>
        <w:t xml:space="preserve">The Through-Line</w:t>
      </w:r>
    </w:p>
    <w:p>
      <w:pPr>
        <w:pBdr>
          <w:bottom w:val="single" w:color="C9A84C" w:sz="6" w:space="1"/>
        </w:pBdr>
        <w:spacing w:after="200" w:before="160"/>
      </w:pPr>
    </w:p>
    <w:p>
      <w:pPr>
        <w:spacing w:after="160" w:before="0"/>
      </w:pPr>
      <w:r>
        <w:rPr>
          <w:rFonts w:ascii="Georgia" w:cs="Georgia" w:eastAsia="Georgia" w:hAnsi="Georgia"/>
          <w:color w:val="2C2C2C"/>
          <w:sz w:val="22"/>
          <w:szCs w:val="22"/>
        </w:rPr>
        <w:t xml:space="preserve">Every framework in The Five Roots — clinical, recovery-based, philosophical, and spiritual — arrives at the same destination by different paths. They converge on a truth that none of them says loudly enough on its own, but that Midnight Magnolia was built to hold: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5F0E8" w:val="clear"/>
            <w:tcMar>
              <w:top w:type="dxa" w:w="180"/>
              <w:left w:type="dxa" w:w="320"/>
              <w:bottom w:type="dxa" w:w="180"/>
              <w:right w:type="dxa" w:w="220"/>
            </w:tcMar>
          </w:tcPr>
          <w:p>
            <w:r>
              <w:rPr>
                <w:rFonts w:ascii="Georgia" w:cs="Georgia" w:eastAsia="Georgia" w:hAnsi="Georgia"/>
                <w:i/>
                <w:iCs/>
                <w:color w:val="2B2F4A"/>
                <w:sz w:val="24"/>
                <w:szCs w:val="24"/>
              </w:rPr>
              <w:t xml:space="preserve">Your survival was not a mistake. Your healing is not a performance. Your worth is not conditional on your productivity. You come from people. Those people are still with you.</w:t>
            </w:r>
          </w:p>
        </w:tc>
      </w:tr>
    </w:tbl>
    <w:p>
      <w:pPr>
        <w:spacing w:after="260" w:before="0"/>
      </w:pPr>
      <w:r>
        <w:t xml:space="preserve"/>
      </w:r>
    </w:p>
    <w:p>
      <w:pPr>
        <w:spacing w:after="160" w:before="0"/>
      </w:pPr>
      <w:r>
        <w:rPr>
          <w:rFonts w:ascii="Georgia" w:cs="Georgia" w:eastAsia="Georgia" w:hAnsi="Georgia"/>
          <w:color w:val="2C2C2C"/>
          <w:sz w:val="22"/>
          <w:szCs w:val="22"/>
        </w:rPr>
        <w:t xml:space="preserve">The Five Roots is not a finished document. It is a living framework, tended the same way the roots it describes are tended — with ongoing attention, with willingness to be changed by what is learned, and with the understanding that the person who returns to it a year from now will find different things relevant than the person who wrote it today.</w:t>
      </w:r>
    </w:p>
    <w:p>
      <w:pPr>
        <w:spacing w:after="120" w:before="0"/>
      </w:pPr>
      <w:r>
        <w:t xml:space="preserve"/>
      </w:r>
    </w:p>
    <w:p>
      <w:pPr>
        <w:spacing w:after="160" w:before="0"/>
      </w:pPr>
      <w:r>
        <w:rPr>
          <w:rFonts w:ascii="Georgia" w:cs="Georgia" w:eastAsia="Georgia" w:hAnsi="Georgia"/>
          <w:color w:val="2C2C2C"/>
          <w:sz w:val="22"/>
          <w:szCs w:val="22"/>
        </w:rPr>
        <w:t xml:space="preserve">That is not a flaw. That is how growth works.</w:t>
      </w:r>
    </w:p>
    <w:p>
      <w:pPr>
        <w:spacing w:after="320" w:before="0"/>
      </w:pPr>
      <w:r>
        <w:t xml:space="preserve"/>
      </w:r>
    </w:p>
    <w:p>
      <w:pPr>
        <w:pBdr>
          <w:bottom w:val="single" w:color="C9A84C" w:sz="6" w:space="1"/>
        </w:pBdr>
        <w:spacing w:after="200" w:before="160"/>
      </w:pPr>
    </w:p>
    <w:p>
      <w:pPr>
        <w:spacing w:after="120" w:before="0"/>
      </w:pPr>
      <w:r>
        <w:t xml:space="preserve"/>
      </w:r>
    </w:p>
    <w:p>
      <w:pPr>
        <w:spacing w:after="200" w:before="0"/>
        <w:jc w:val="center"/>
      </w:pPr>
      <w:r>
        <w:rPr>
          <w:rFonts w:ascii="Georgia" w:cs="Georgia" w:eastAsia="Georgia" w:hAnsi="Georgia"/>
          <w:color w:val="C9A84C"/>
          <w:sz w:val="18"/>
          <w:szCs w:val="18"/>
        </w:rPr>
        <w:t xml:space="preserve">Midnight Magnolia · midnight-magnolia.com</w:t>
      </w:r>
    </w:p>
    <w:p>
      <w:pPr>
        <w:spacing w:after="200" w:before="0"/>
        <w:jc w:val="center"/>
      </w:pPr>
      <w:r>
        <w:rPr>
          <w:rFonts w:ascii="Georgia" w:cs="Georgia" w:eastAsia="Georgia" w:hAnsi="Georgia"/>
          <w:color w:val="2B2F4A"/>
          <w:sz w:val="18"/>
          <w:szCs w:val="18"/>
        </w:rPr>
        <w:t xml:space="preserve">Latisha Vincent-Waters, Founder</w:t>
      </w:r>
    </w:p>
    <w:p>
      <w:pPr>
        <w:spacing w:after="200" w:before="0"/>
        <w:jc w:val="center"/>
      </w:pPr>
      <w:r>
        <w:rPr>
          <w:rFonts w:ascii="Georgia" w:cs="Georgia" w:eastAsia="Georgia" w:hAnsi="Georgia"/>
          <w:color w:val="666666"/>
          <w:sz w:val="18"/>
          <w:szCs w:val="18"/>
        </w:rPr>
        <w:t xml:space="preserve">Framework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00"/>
      </w:pPr>
      <w:rPr>
        <w:rFonts w:ascii="Georgia" w:cs="Georgia" w:eastAsia="Georgia" w:hAnsi="Georgia"/>
        <w:color w:val="C9A84C"/>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2B2F4A"/>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2B2F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2026-05-06T23:15:17.484Z</dcterms:created>
  <dcterms:modified xsi:type="dcterms:W3CDTF">2026-05-06T23:15:17.485Z</dcterms:modified>
</cp:coreProperties>
</file>

<file path=docProps/custom.xml><?xml version="1.0" encoding="utf-8"?>
<Properties xmlns="http://schemas.openxmlformats.org/officeDocument/2006/custom-properties" xmlns:vt="http://schemas.openxmlformats.org/officeDocument/2006/docPropsVTypes"/>
</file>