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Arial" w:hAnsi="Arial"/>
          <w:b/>
          <w:i w:val="0"/>
          <w:sz w:val="22"/>
        </w:rPr>
        <w:t>CIBERTEC — Carrera de Computación e Informática</w:t>
      </w:r>
    </w:p>
    <w:p>
      <w:pPr>
        <w:spacing w:after="120"/>
        <w:jc w:val="center"/>
      </w:pPr>
      <w:r>
        <w:rPr>
          <w:rFonts w:ascii="Arial" w:hAnsi="Arial"/>
          <w:b w:val="0"/>
          <w:i w:val="0"/>
          <w:sz w:val="22"/>
        </w:rPr>
        <w:t>Curso: Desarrollo de Aplicaciones Web II (4697)</w:t>
      </w:r>
    </w:p>
    <w:p>
      <w:pPr>
        <w:spacing w:after="120"/>
      </w:pPr>
      <w:r>
        <w:rPr>
          <w:rFonts w:ascii="Arial" w:hAnsi="Arial"/>
          <w:b w:val="0"/>
          <w:i w:val="0"/>
        </w:rPr>
      </w:r>
    </w:p>
    <w:p>
      <w:pPr>
        <w:pStyle w:val="Heading1"/>
      </w:pPr>
      <w:r>
        <w:rPr>
          <w:rFonts w:ascii="Arial" w:hAnsi="Arial"/>
        </w:rPr>
        <w:t>Análisis: Sílabo del curso vs Proyecto ReciclaPe</w:t>
      </w:r>
    </w:p>
    <w:p>
      <w:pPr>
        <w:spacing w:after="120"/>
      </w:pPr>
      <w:r>
        <w:rPr>
          <w:rFonts w:ascii="Arial" w:hAnsi="Arial"/>
          <w:b w:val="0"/>
          <w:i/>
        </w:rPr>
        <w:t>Documento de revisión interna del equipo. Decisión arquitectónica abierta.</w:t>
      </w:r>
    </w:p>
    <w:p>
      <w:pPr>
        <w:pStyle w:val="Heading2"/>
      </w:pPr>
      <w:r>
        <w:rPr>
          <w:rFonts w:ascii="Arial" w:hAnsi="Arial"/>
        </w:rPr>
        <w:t>Resumen ejecutivo</w:t>
      </w:r>
    </w:p>
    <w:p>
      <w:pPr>
        <w:spacing w:after="120"/>
      </w:pPr>
      <w:r>
        <w:rPr>
          <w:rFonts w:ascii="Arial" w:hAnsi="Arial"/>
          <w:b w:val="0"/>
          <w:i w:val="0"/>
        </w:rPr>
        <w:t>El proyecto ReciclaPe tal como está propuesto (monolito Spring Boot + Angular con login JWT/BCrypt y CRUD REST) cumple al 100% la rúbrica del documento "PR 2026 06" (guía oficial del proyecto), pero deja fuera aproximadamente el 70% del sílabo del curso 4697 (microservicios, Spring Cloud, mensajería asíncrona, Docker, Kubernetes, observabilidad).</w:t>
      </w:r>
    </w:p>
    <w:p>
      <w:pPr>
        <w:spacing w:after="120"/>
      </w:pPr>
      <w:r>
        <w:rPr>
          <w:rFonts w:ascii="Arial" w:hAnsi="Arial"/>
          <w:b w:val="0"/>
          <w:i w:val="0"/>
        </w:rPr>
        <w:t>Riesgo: la Evaluación Final (EF, sesión 13) pesa 45% de la nota del curso y el docente puede penalizar un proyecto que no demuestre los temas centrales del sílabo, aunque cumpla la rúbrica textual.</w:t>
      </w:r>
    </w:p>
    <w:p>
      <w:pPr>
        <w:spacing w:after="120"/>
      </w:pPr>
      <w:r>
        <w:rPr>
          <w:rFonts w:ascii="Arial" w:hAnsi="Arial"/>
          <w:b w:val="0"/>
          <w:i w:val="0"/>
        </w:rPr>
        <w:t>Recomendación: evolucionar ReciclaPe de monolito a una arquitectura de mini-microservicios con Docker Compose, Spring Cloud Gateway y Actuator + Prometheus. Cumple la rúbrica y demuestra el sílabo.</w:t>
      </w:r>
    </w:p>
    <w:p>
      <w:pPr>
        <w:pStyle w:val="Heading2"/>
      </w:pPr>
      <w:r>
        <w:rPr>
          <w:rFonts w:ascii="Arial" w:hAnsi="Arial"/>
        </w:rPr>
        <w:t>1. Lo que pide la rúbrica del proyecto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567"/>
            <w:vAlign w:val="center"/>
          </w:tcPr>
          <w:p>
            <w:r/>
            <w:r>
              <w:rPr>
                <w:rFonts w:ascii="Arial" w:hAnsi="Arial"/>
                <w:b/>
                <w:sz w:val="20"/>
              </w:rPr>
              <w:t>#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Arial" w:hAnsi="Arial"/>
                <w:b/>
                <w:sz w:val="20"/>
              </w:rPr>
              <w:t>Requisito técnico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Arial" w:hAnsi="Arial"/>
                <w:b/>
                <w:sz w:val="20"/>
              </w:rPr>
              <w:t>Puntos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Arial" w:hAnsi="Arial"/>
                <w:sz w:val="20"/>
              </w:rPr>
              <w:t>1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Arial" w:hAnsi="Arial"/>
                <w:sz w:val="20"/>
              </w:rPr>
              <w:t>Servicio REST de login con password en BCrypt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Arial" w:hAnsi="Arial"/>
                <w:sz w:val="20"/>
              </w:rPr>
              <w:t>6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Arial" w:hAnsi="Arial"/>
                <w:sz w:val="20"/>
              </w:rPr>
              <w:t>2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Arial" w:hAnsi="Arial"/>
                <w:sz w:val="20"/>
              </w:rPr>
              <w:t>Servicios REST con GET, POST, PUT y DELETE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Arial" w:hAnsi="Arial"/>
                <w:sz w:val="20"/>
              </w:rPr>
              <w:t>6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Arial" w:hAnsi="Arial"/>
                <w:sz w:val="20"/>
              </w:rPr>
              <w:t>3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Arial" w:hAnsi="Arial"/>
                <w:sz w:val="20"/>
              </w:rPr>
              <w:t>App Angular que consume todos los servicios REST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Arial" w:hAnsi="Arial"/>
                <w:sz w:val="20"/>
              </w:rPr>
              <w:t>6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Arial" w:hAnsi="Arial"/>
                <w:sz w:val="20"/>
              </w:rPr>
              <w:t>4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Arial" w:hAnsi="Arial"/>
                <w:sz w:val="20"/>
              </w:rPr>
              <w:t>Pruebas de capa de acceso a datos (solo AP1)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Arial" w:hAnsi="Arial"/>
                <w:sz w:val="20"/>
              </w:rPr>
              <w:t>6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Arial" w:hAnsi="Arial"/>
          <w:b w:val="0"/>
          <w:i w:val="0"/>
        </w:rPr>
        <w:t>Parte formal (SEPTE, objetivos SMART, justificación, conclusiones): 8 puntos.</w:t>
      </w:r>
    </w:p>
    <w:p>
      <w:pPr>
        <w:pStyle w:val="Heading2"/>
      </w:pPr>
      <w:r>
        <w:rPr>
          <w:rFonts w:ascii="Arial" w:hAnsi="Arial"/>
        </w:rPr>
        <w:t>2. Lo que pide el sílabo del curso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835"/>
            <w:vAlign w:val="center"/>
          </w:tcPr>
          <w:p>
            <w:r/>
            <w:r>
              <w:rPr>
                <w:rFonts w:ascii="Arial" w:hAnsi="Arial"/>
                <w:b/>
                <w:sz w:val="20"/>
              </w:rPr>
              <w:t>Unidad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Arial" w:hAnsi="Arial"/>
                <w:b/>
                <w:sz w:val="20"/>
              </w:rPr>
              <w:t>Temas centrales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b/>
                <w:sz w:val="20"/>
              </w:rPr>
              <w:t>Horas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Arial" w:hAnsi="Arial"/>
                <w:sz w:val="20"/>
              </w:rPr>
              <w:t>1 — Comunicación en microservicios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Arial" w:hAnsi="Arial"/>
                <w:sz w:val="20"/>
              </w:rPr>
              <w:t>Feign Client, RabbitMQ/Kafka, Spring Cloud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sz w:val="20"/>
              </w:rPr>
              <w:t>18 h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Arial" w:hAnsi="Arial"/>
                <w:sz w:val="20"/>
              </w:rPr>
              <w:t>2 — Seguridad, resiliencia, despliegue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Arial" w:hAnsi="Arial"/>
                <w:sz w:val="20"/>
              </w:rPr>
              <w:t>JWT + OAuth2, Spring Security, Circuit Breaker / Resilience4J, Docker, Kubernetes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sz w:val="20"/>
              </w:rPr>
              <w:t>18 h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Arial" w:hAnsi="Arial"/>
                <w:sz w:val="20"/>
              </w:rPr>
              <w:t>3 — Observabilidad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Arial" w:hAnsi="Arial"/>
                <w:sz w:val="20"/>
              </w:rPr>
              <w:t>Spring Boot Actuator, ELK, Prometheus, Grafana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sz w:val="20"/>
              </w:rPr>
              <w:t>6 h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Arial" w:hAnsi="Arial"/>
          <w:b/>
          <w:i w:val="0"/>
        </w:rPr>
        <w:t>Logro del curso (textual):</w:t>
      </w:r>
    </w:p>
    <w:p>
      <w:pPr>
        <w:spacing w:after="120"/>
      </w:pPr>
      <w:r>
        <w:rPr>
          <w:rFonts w:ascii="Arial" w:hAnsi="Arial"/>
          <w:b w:val="0"/>
          <w:i/>
        </w:rPr>
        <w:t>"Al término del curso, el alumno logra implementar aplicaciones web avanzadas, manejando microservicios con Spring Cloud, aplicando seguridad y autenticación, desarrollando resiliencia y realizando despliegues con Docker y Kubernetes. Además, aprende a implementar prácticas de observabilidad, optimizando rendimiento y escalabilidad."</w:t>
      </w:r>
    </w:p>
    <w:p>
      <w:pPr>
        <w:pStyle w:val="Heading2"/>
      </w:pPr>
      <w:r>
        <w:rPr>
          <w:rFonts w:ascii="Arial" w:hAnsi="Arial"/>
        </w:rPr>
        <w:t>3. Comparación cruda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5953"/>
            <w:vAlign w:val="center"/>
          </w:tcPr>
          <w:p>
            <w:r/>
            <w:r>
              <w:rPr>
                <w:rFonts w:ascii="Arial" w:hAnsi="Arial"/>
                <w:b/>
                <w:sz w:val="20"/>
              </w:rPr>
              <w:t>Tema del sílabo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Arial" w:hAnsi="Arial"/>
                <w:b/>
                <w:sz w:val="20"/>
              </w:rPr>
              <w:t>¿Cubierto en ReciclaPe (monolito)?</w:t>
            </w:r>
          </w:p>
        </w:tc>
      </w:tr>
      <w:tr>
        <w:tc>
          <w:tcPr>
            <w:tcW w:type="dxa" w:w="5953"/>
            <w:vAlign w:val="center"/>
          </w:tcPr>
          <w:p>
            <w:r/>
            <w:r>
              <w:rPr>
                <w:rFonts w:ascii="Arial" w:hAnsi="Arial"/>
                <w:sz w:val="20"/>
              </w:rPr>
              <w:t>Microservicios con Spring Cloud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Arial" w:hAnsi="Arial"/>
                <w:sz w:val="20"/>
              </w:rPr>
              <w:t>NO</w:t>
            </w:r>
          </w:p>
        </w:tc>
      </w:tr>
      <w:tr>
        <w:tc>
          <w:tcPr>
            <w:tcW w:type="dxa" w:w="5953"/>
            <w:vAlign w:val="center"/>
          </w:tcPr>
          <w:p>
            <w:r/>
            <w:r>
              <w:rPr>
                <w:rFonts w:ascii="Arial" w:hAnsi="Arial"/>
                <w:sz w:val="20"/>
              </w:rPr>
              <w:t>Feign Client (comunicación síncrona entre servicios)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Arial" w:hAnsi="Arial"/>
                <w:sz w:val="20"/>
              </w:rPr>
              <w:t>NO</w:t>
            </w:r>
          </w:p>
        </w:tc>
      </w:tr>
      <w:tr>
        <w:tc>
          <w:tcPr>
            <w:tcW w:type="dxa" w:w="5953"/>
            <w:vAlign w:val="center"/>
          </w:tcPr>
          <w:p>
            <w:r/>
            <w:r>
              <w:rPr>
                <w:rFonts w:ascii="Arial" w:hAnsi="Arial"/>
                <w:sz w:val="20"/>
              </w:rPr>
              <w:t>Mensajería asíncrona (RabbitMQ / Kafka)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Arial" w:hAnsi="Arial"/>
                <w:sz w:val="20"/>
              </w:rPr>
              <w:t>NO</w:t>
            </w:r>
          </w:p>
        </w:tc>
      </w:tr>
      <w:tr>
        <w:tc>
          <w:tcPr>
            <w:tcW w:type="dxa" w:w="5953"/>
            <w:vAlign w:val="center"/>
          </w:tcPr>
          <w:p>
            <w:r/>
            <w:r>
              <w:rPr>
                <w:rFonts w:ascii="Arial" w:hAnsi="Arial"/>
                <w:sz w:val="20"/>
              </w:rPr>
              <w:t>Spring Cloud Config / Gateway / Eureka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Arial" w:hAnsi="Arial"/>
                <w:sz w:val="20"/>
              </w:rPr>
              <w:t>NO</w:t>
            </w:r>
          </w:p>
        </w:tc>
      </w:tr>
      <w:tr>
        <w:tc>
          <w:tcPr>
            <w:tcW w:type="dxa" w:w="5953"/>
            <w:vAlign w:val="center"/>
          </w:tcPr>
          <w:p>
            <w:r/>
            <w:r>
              <w:rPr>
                <w:rFonts w:ascii="Arial" w:hAnsi="Arial"/>
                <w:sz w:val="20"/>
              </w:rPr>
              <w:t>JWT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Arial" w:hAnsi="Arial"/>
                <w:sz w:val="20"/>
              </w:rPr>
              <w:t>SÍ</w:t>
            </w:r>
          </w:p>
        </w:tc>
      </w:tr>
      <w:tr>
        <w:tc>
          <w:tcPr>
            <w:tcW w:type="dxa" w:w="5953"/>
            <w:vAlign w:val="center"/>
          </w:tcPr>
          <w:p>
            <w:r/>
            <w:r>
              <w:rPr>
                <w:rFonts w:ascii="Arial" w:hAnsi="Arial"/>
                <w:sz w:val="20"/>
              </w:rPr>
              <w:t>OAuth2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Arial" w:hAnsi="Arial"/>
                <w:sz w:val="20"/>
              </w:rPr>
              <w:t>NO (solo JWT)</w:t>
            </w:r>
          </w:p>
        </w:tc>
      </w:tr>
      <w:tr>
        <w:tc>
          <w:tcPr>
            <w:tcW w:type="dxa" w:w="5953"/>
            <w:vAlign w:val="center"/>
          </w:tcPr>
          <w:p>
            <w:r/>
            <w:r>
              <w:rPr>
                <w:rFonts w:ascii="Arial" w:hAnsi="Arial"/>
                <w:sz w:val="20"/>
              </w:rPr>
              <w:t>Spring Security + BCrypt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Arial" w:hAnsi="Arial"/>
                <w:sz w:val="20"/>
              </w:rPr>
              <w:t>SÍ</w:t>
            </w:r>
          </w:p>
        </w:tc>
      </w:tr>
      <w:tr>
        <w:tc>
          <w:tcPr>
            <w:tcW w:type="dxa" w:w="5953"/>
            <w:vAlign w:val="center"/>
          </w:tcPr>
          <w:p>
            <w:r/>
            <w:r>
              <w:rPr>
                <w:rFonts w:ascii="Arial" w:hAnsi="Arial"/>
                <w:sz w:val="20"/>
              </w:rPr>
              <w:t>Circuit Breaker / Resilience4J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Arial" w:hAnsi="Arial"/>
                <w:sz w:val="20"/>
              </w:rPr>
              <w:t>NO</w:t>
            </w:r>
          </w:p>
        </w:tc>
      </w:tr>
      <w:tr>
        <w:tc>
          <w:tcPr>
            <w:tcW w:type="dxa" w:w="5953"/>
            <w:vAlign w:val="center"/>
          </w:tcPr>
          <w:p>
            <w:r/>
            <w:r>
              <w:rPr>
                <w:rFonts w:ascii="Arial" w:hAnsi="Arial"/>
                <w:sz w:val="20"/>
              </w:rPr>
              <w:t>Dockerización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Arial" w:hAnsi="Arial"/>
                <w:sz w:val="20"/>
              </w:rPr>
              <w:t>NO</w:t>
            </w:r>
          </w:p>
        </w:tc>
      </w:tr>
      <w:tr>
        <w:tc>
          <w:tcPr>
            <w:tcW w:type="dxa" w:w="5953"/>
            <w:vAlign w:val="center"/>
          </w:tcPr>
          <w:p>
            <w:r/>
            <w:r>
              <w:rPr>
                <w:rFonts w:ascii="Arial" w:hAnsi="Arial"/>
                <w:sz w:val="20"/>
              </w:rPr>
              <w:t>Kubernetes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Arial" w:hAnsi="Arial"/>
                <w:sz w:val="20"/>
              </w:rPr>
              <w:t>NO</w:t>
            </w:r>
          </w:p>
        </w:tc>
      </w:tr>
      <w:tr>
        <w:tc>
          <w:tcPr>
            <w:tcW w:type="dxa" w:w="5953"/>
            <w:vAlign w:val="center"/>
          </w:tcPr>
          <w:p>
            <w:r/>
            <w:r>
              <w:rPr>
                <w:rFonts w:ascii="Arial" w:hAnsi="Arial"/>
                <w:sz w:val="20"/>
              </w:rPr>
              <w:t>Spring Boot Actuator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Arial" w:hAnsi="Arial"/>
                <w:sz w:val="20"/>
              </w:rPr>
              <w:t>NO</w:t>
            </w:r>
          </w:p>
        </w:tc>
      </w:tr>
      <w:tr>
        <w:tc>
          <w:tcPr>
            <w:tcW w:type="dxa" w:w="5953"/>
            <w:vAlign w:val="center"/>
          </w:tcPr>
          <w:p>
            <w:r/>
            <w:r>
              <w:rPr>
                <w:rFonts w:ascii="Arial" w:hAnsi="Arial"/>
                <w:sz w:val="20"/>
              </w:rPr>
              <w:t>Prometheus + Grafana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Arial" w:hAnsi="Arial"/>
                <w:sz w:val="20"/>
              </w:rPr>
              <w:t>NO</w:t>
            </w:r>
          </w:p>
        </w:tc>
      </w:tr>
      <w:tr>
        <w:tc>
          <w:tcPr>
            <w:tcW w:type="dxa" w:w="5953"/>
            <w:vAlign w:val="center"/>
          </w:tcPr>
          <w:p>
            <w:r/>
            <w:r>
              <w:rPr>
                <w:rFonts w:ascii="Arial" w:hAnsi="Arial"/>
                <w:sz w:val="20"/>
              </w:rPr>
              <w:t>ELK Stack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Arial" w:hAnsi="Arial"/>
                <w:sz w:val="20"/>
              </w:rPr>
              <w:t>NO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Arial" w:hAnsi="Arial"/>
          <w:b/>
          <w:i w:val="0"/>
        </w:rPr>
        <w:t>Conclusión: el proyecto actual demuestra el curso anterior (Desarrollo de Aplicaciones Web I), no este.</w:t>
      </w:r>
    </w:p>
    <w:p>
      <w:pPr>
        <w:pStyle w:val="Heading2"/>
      </w:pPr>
      <w:r>
        <w:rPr>
          <w:rFonts w:ascii="Arial" w:hAnsi="Arial"/>
        </w:rPr>
        <w:t>4. Propuesta: ReciclaPe v2 (microservicios)</w:t>
      </w:r>
    </w:p>
    <w:p>
      <w:pPr>
        <w:spacing w:after="120"/>
      </w:pPr>
      <w:r>
        <w:rPr>
          <w:rFonts w:ascii="Arial" w:hAnsi="Arial"/>
          <w:b w:val="0"/>
          <w:i w:val="0"/>
        </w:rPr>
        <w:t>Se mantiene el dominio (vecinos, recicladores, recojos, impacto ambiental) y se rediseña la arquitectura para alinearla al sílabo.</w:t>
      </w:r>
    </w:p>
    <w:p>
      <w:pPr>
        <w:pStyle w:val="Heading3"/>
      </w:pPr>
      <w:r>
        <w:rPr>
          <w:rFonts w:ascii="Arial" w:hAnsi="Arial"/>
        </w:rPr>
        <w:t>4.1. Split en microservicios</w:t>
      </w:r>
    </w:p>
    <w:p>
      <w:pPr>
        <w:pStyle w:val="ListBullet"/>
        <w:ind w:left="340"/>
      </w:pPr>
      <w:r>
        <w:rPr>
          <w:rFonts w:ascii="Arial" w:hAnsi="Arial"/>
          <w:sz w:val="22"/>
        </w:rPr>
        <w:t>api-gateway: Spring Cloud Gateway. Punto único de entrada, valida JWT, rutea.</w:t>
      </w:r>
    </w:p>
    <w:p>
      <w:pPr>
        <w:pStyle w:val="ListBullet"/>
        <w:ind w:left="340"/>
      </w:pPr>
      <w:r>
        <w:rPr>
          <w:rFonts w:ascii="Arial" w:hAnsi="Arial"/>
          <w:sz w:val="22"/>
        </w:rPr>
        <w:t>eureka-server: service discovery.</w:t>
      </w:r>
    </w:p>
    <w:p>
      <w:pPr>
        <w:pStyle w:val="ListBullet"/>
        <w:ind w:left="340"/>
      </w:pPr>
      <w:r>
        <w:rPr>
          <w:rFonts w:ascii="Arial" w:hAnsi="Arial"/>
          <w:sz w:val="22"/>
        </w:rPr>
        <w:t>auth-service: login JWT + BCrypt, gestión de usuarios y roles.</w:t>
      </w:r>
    </w:p>
    <w:p>
      <w:pPr>
        <w:pStyle w:val="ListBullet"/>
        <w:ind w:left="340"/>
      </w:pPr>
      <w:r>
        <w:rPr>
          <w:rFonts w:ascii="Arial" w:hAnsi="Arial"/>
          <w:sz w:val="22"/>
        </w:rPr>
        <w:t>recojo-service: CRUD de puntos de acopio, recojos, detalles, tipos de residuo.</w:t>
      </w:r>
    </w:p>
    <w:p>
      <w:pPr>
        <w:pStyle w:val="ListBullet"/>
        <w:ind w:left="340"/>
      </w:pPr>
      <w:r>
        <w:rPr>
          <w:rFonts w:ascii="Arial" w:hAnsi="Arial"/>
          <w:sz w:val="22"/>
        </w:rPr>
        <w:t>reporte-service: agregación de KPIs e impacto. Consume recojo-service vía Feign con Circuit Breaker.</w:t>
      </w:r>
    </w:p>
    <w:p>
      <w:pPr>
        <w:pStyle w:val="ListBullet"/>
        <w:ind w:left="340"/>
      </w:pPr>
      <w:r>
        <w:rPr>
          <w:rFonts w:ascii="Arial" w:hAnsi="Arial"/>
          <w:sz w:val="22"/>
        </w:rPr>
        <w:t>RabbitMQ: mensajería asíncrona. Evento "RecojoCompletado" entre recojo-service y reporte-service.</w:t>
      </w:r>
    </w:p>
    <w:p>
      <w:pPr>
        <w:pStyle w:val="ListBullet"/>
        <w:ind w:left="340"/>
      </w:pPr>
      <w:r>
        <w:rPr>
          <w:rFonts w:ascii="Arial" w:hAnsi="Arial"/>
          <w:sz w:val="22"/>
        </w:rPr>
        <w:t>Prometheus + Grafana: observabilidad.</w:t>
      </w:r>
    </w:p>
    <w:p>
      <w:pPr>
        <w:pStyle w:val="ListBullet"/>
        <w:ind w:left="340"/>
      </w:pPr>
      <w:r>
        <w:rPr>
          <w:rFonts w:ascii="Arial" w:hAnsi="Arial"/>
          <w:sz w:val="22"/>
        </w:rPr>
        <w:t>Todo orquestado con docker-compose.yml.</w:t>
      </w:r>
    </w:p>
    <w:p>
      <w:pPr>
        <w:pStyle w:val="Heading3"/>
      </w:pPr>
      <w:r>
        <w:rPr>
          <w:rFonts w:ascii="Arial" w:hAnsi="Arial"/>
        </w:rPr>
        <w:t>4.2. Cobertura del sílabo con esta arquitectura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402"/>
            <w:vAlign w:val="center"/>
          </w:tcPr>
          <w:p>
            <w:r/>
            <w:r>
              <w:rPr>
                <w:rFonts w:ascii="Arial" w:hAnsi="Arial"/>
                <w:b/>
                <w:sz w:val="20"/>
              </w:rPr>
              <w:t>Tema del sílabo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Arial" w:hAnsi="Arial"/>
                <w:b/>
                <w:sz w:val="20"/>
              </w:rPr>
              <w:t>Cómo lo cubre ReciclaPe v2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Arial" w:hAnsi="Arial"/>
                <w:sz w:val="20"/>
              </w:rPr>
              <w:t>Feign Client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Arial" w:hAnsi="Arial"/>
                <w:sz w:val="20"/>
              </w:rPr>
              <w:t>reporte-service consume recojo-service vía Feign.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Arial" w:hAnsi="Arial"/>
                <w:sz w:val="20"/>
              </w:rPr>
              <w:t>Mensajería asíncrona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Arial" w:hAnsi="Arial"/>
                <w:sz w:val="20"/>
              </w:rPr>
              <w:t>recojo-service publica RecojoCompletado en RabbitMQ; reporte-service lo consume.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Arial" w:hAnsi="Arial"/>
                <w:sz w:val="20"/>
              </w:rPr>
              <w:t>Spring Cloud (Gateway, Eureka, Config)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Arial" w:hAnsi="Arial"/>
                <w:sz w:val="20"/>
              </w:rPr>
              <w:t>api-gateway + eureka-server (+ config-server opcional).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Arial" w:hAnsi="Arial"/>
                <w:sz w:val="20"/>
              </w:rPr>
              <w:t>JWT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Arial" w:hAnsi="Arial"/>
                <w:sz w:val="20"/>
              </w:rPr>
              <w:t>auth-service emite JWT; api-gateway lo valida.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Arial" w:hAnsi="Arial"/>
                <w:sz w:val="20"/>
              </w:rPr>
              <w:t>OAuth2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Arial" w:hAnsi="Arial"/>
                <w:sz w:val="20"/>
              </w:rPr>
              <w:t>auth-service puede exponer /oauth/token (opcional pero suma).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Arial" w:hAnsi="Arial"/>
                <w:sz w:val="20"/>
              </w:rPr>
              <w:t>Spring Security + BCrypt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Arial" w:hAnsi="Arial"/>
                <w:sz w:val="20"/>
              </w:rPr>
              <w:t>En auth-service.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Arial" w:hAnsi="Arial"/>
                <w:sz w:val="20"/>
              </w:rPr>
              <w:t>Circuit Breaker / Resilience4J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Arial" w:hAnsi="Arial"/>
                <w:sz w:val="20"/>
              </w:rPr>
              <w:t>En reporte-service al llamar a recojo-service.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Arial" w:hAnsi="Arial"/>
                <w:sz w:val="20"/>
              </w:rPr>
              <w:t>Docker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Arial" w:hAnsi="Arial"/>
                <w:sz w:val="20"/>
              </w:rPr>
              <w:t>Dockerfile por servicio + docker-compose.yml.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Arial" w:hAnsi="Arial"/>
                <w:sz w:val="20"/>
              </w:rPr>
              <w:t>Kubernetes (opcional)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Arial" w:hAnsi="Arial"/>
                <w:sz w:val="20"/>
              </w:rPr>
              <w:t>Manifests Deployment/Service por microservicio en k8s/, como anexo.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Arial" w:hAnsi="Arial"/>
                <w:sz w:val="20"/>
              </w:rPr>
              <w:t>Spring Boot Actuator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Arial" w:hAnsi="Arial"/>
                <w:sz w:val="20"/>
              </w:rPr>
              <w:t>/actuator/health, /metrics, /prometheus en cada servicio.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Arial" w:hAnsi="Arial"/>
                <w:sz w:val="20"/>
              </w:rPr>
              <w:t>Prometheus + Grafana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Arial" w:hAnsi="Arial"/>
                <w:sz w:val="20"/>
              </w:rPr>
              <w:t>Contenedores en el compose; dashboard de latencias y errores.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Arial" w:hAnsi="Arial"/>
                <w:sz w:val="20"/>
              </w:rPr>
              <w:t>ELK (opcional)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Arial" w:hAnsi="Arial"/>
                <w:sz w:val="20"/>
              </w:rPr>
              <w:t>Logs centralizados; sumar solo si hay tiempo.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Arial" w:hAnsi="Arial"/>
        </w:rPr>
        <w:t>4.3. Cobertura de la rúbrica (no se pierden puntos)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402"/>
            <w:vAlign w:val="center"/>
          </w:tcPr>
          <w:p>
            <w:r/>
            <w:r>
              <w:rPr>
                <w:rFonts w:ascii="Arial" w:hAnsi="Arial"/>
                <w:b/>
                <w:sz w:val="20"/>
              </w:rPr>
              <w:t>Requisito rúbrica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Arial" w:hAnsi="Arial"/>
                <w:b/>
                <w:sz w:val="20"/>
              </w:rPr>
              <w:t>Dónde se cumple en v2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Arial" w:hAnsi="Arial"/>
                <w:sz w:val="20"/>
              </w:rPr>
              <w:t>Login REST + BCrypt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Arial" w:hAnsi="Arial"/>
                <w:sz w:val="20"/>
              </w:rPr>
              <w:t>auth-service: POST /api/auth/login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Arial" w:hAnsi="Arial"/>
                <w:sz w:val="20"/>
              </w:rPr>
              <w:t>GET / POST / PUT / DELETE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Arial" w:hAnsi="Arial"/>
                <w:sz w:val="20"/>
              </w:rPr>
              <w:t>recojo-service expone CRUD completo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Arial" w:hAnsi="Arial"/>
                <w:sz w:val="20"/>
              </w:rPr>
              <w:t>Angular consume todos los servicios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Arial" w:hAnsi="Arial"/>
                <w:sz w:val="20"/>
              </w:rPr>
              <w:t>Frontend apunta al api-gateway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Arial" w:hAnsi="Arial"/>
                <w:sz w:val="20"/>
              </w:rPr>
              <w:t>Pruebas de capa de datos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Arial" w:hAnsi="Arial"/>
                <w:sz w:val="20"/>
              </w:rPr>
              <w:t>Tests JUnit con @DataJpaTest por repositorio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Arial" w:hAnsi="Arial"/>
        </w:rPr>
        <w:t>5. Plan de avance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984"/>
            <w:vAlign w:val="center"/>
          </w:tcPr>
          <w:p>
            <w:r/>
            <w:r>
              <w:rPr>
                <w:rFonts w:ascii="Arial" w:hAnsi="Arial"/>
                <w:b/>
                <w:sz w:val="20"/>
              </w:rPr>
              <w:t>Hito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Arial" w:hAnsi="Arial"/>
                <w:b/>
                <w:sz w:val="20"/>
              </w:rPr>
              <w:t>Semana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Arial" w:hAnsi="Arial"/>
                <w:b/>
                <w:sz w:val="20"/>
              </w:rPr>
              <w:t>Entregable mínimo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Arial" w:hAnsi="Arial"/>
                <w:sz w:val="20"/>
              </w:rPr>
              <w:t>T1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Arial" w:hAnsi="Arial"/>
                <w:sz w:val="20"/>
              </w:rPr>
              <w:t>5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Arial" w:hAnsi="Arial"/>
                <w:sz w:val="20"/>
              </w:rPr>
              <w:t>Laboratorio individual del docente (no es proyecto)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Arial" w:hAnsi="Arial"/>
                <w:sz w:val="20"/>
              </w:rPr>
              <w:t>Certificado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Arial" w:hAnsi="Arial"/>
                <w:sz w:val="20"/>
              </w:rPr>
              <w:t>8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Arial" w:hAnsi="Arial"/>
                <w:sz w:val="20"/>
              </w:rPr>
              <w:t>Evaluación de certificación (nota &gt;= 16 por curso)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Arial" w:hAnsi="Arial"/>
                <w:sz w:val="20"/>
              </w:rPr>
              <w:t>T2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Arial" w:hAnsi="Arial"/>
                <w:sz w:val="20"/>
              </w:rPr>
              <w:t>9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Arial" w:hAnsi="Arial"/>
                <w:sz w:val="20"/>
              </w:rPr>
              <w:t>Laboratorio individual del docente (no es proyecto)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Arial" w:hAnsi="Arial"/>
                <w:sz w:val="20"/>
              </w:rPr>
              <w:t>AP1 — Avance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Arial" w:hAnsi="Arial"/>
                <w:sz w:val="20"/>
              </w:rPr>
              <w:t>11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Arial" w:hAnsi="Arial"/>
                <w:sz w:val="20"/>
              </w:rPr>
              <w:t>auth-service + recojo-service + Angular login + 1 CRUD + tests JPA + docker-compose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Arial" w:hAnsi="Arial"/>
                <w:sz w:val="20"/>
              </w:rPr>
              <w:t>EF / SP1 — Final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Arial" w:hAnsi="Arial"/>
                <w:sz w:val="20"/>
              </w:rPr>
              <w:t>13–14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Arial" w:hAnsi="Arial"/>
                <w:sz w:val="20"/>
              </w:rPr>
              <w:t>Todos los microservicios + Gateway + Feign + RabbitMQ + Actuator/Prometheus + Angular completo + video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Arial" w:hAnsi="Arial"/>
        </w:rPr>
        <w:t>6. Decisión abierta para el equipo</w:t>
      </w:r>
    </w:p>
    <w:p>
      <w:pPr>
        <w:spacing w:after="120"/>
      </w:pPr>
      <w:r>
        <w:rPr>
          <w:rFonts w:ascii="Arial" w:hAnsi="Arial"/>
          <w:b/>
          <w:i w:val="0"/>
        </w:rPr>
        <w:t>¿Confirmamos la evolución a microservicios o nos quedamos con el monolito?</w:t>
      </w:r>
    </w:p>
    <w:p>
      <w:pPr>
        <w:pStyle w:val="ListBullet"/>
        <w:ind w:left="340"/>
      </w:pPr>
      <w:r>
        <w:rPr>
          <w:rFonts w:ascii="Arial" w:hAnsi="Arial"/>
          <w:sz w:val="22"/>
        </w:rPr>
        <w:t>Opción A — Monolito: menos riesgo, cumple rúbrica textual, menor demostración del sílabo. Nota esperable: 14-16.</w:t>
      </w:r>
    </w:p>
    <w:p>
      <w:pPr>
        <w:pStyle w:val="ListBullet"/>
        <w:ind w:left="340"/>
      </w:pPr>
      <w:r>
        <w:rPr>
          <w:rFonts w:ascii="Arial" w:hAnsi="Arial"/>
          <w:sz w:val="22"/>
        </w:rPr>
        <w:t>Opción B — Microservicios (recomendada): más trabajo, cumple rúbrica + sílabo. Nota esperable: 17-20 si se ejecuta bien.</w:t>
      </w:r>
    </w:p>
    <w:p>
      <w:pPr>
        <w:pStyle w:val="ListBullet"/>
        <w:ind w:left="340"/>
      </w:pPr>
      <w:r>
        <w:rPr>
          <w:rFonts w:ascii="Arial" w:hAnsi="Arial"/>
          <w:sz w:val="22"/>
        </w:rPr>
        <w:t>Opción C — Híbrido: monolito dockerizado + Actuator + Prometheus (sin partir en microservicios). Punto intermedio.</w:t>
      </w:r>
    </w:p>
    <w:p>
      <w:pPr>
        <w:spacing w:after="120"/>
      </w:pPr>
      <w:r>
        <w:rPr>
          <w:rFonts w:ascii="Arial" w:hAnsi="Arial"/>
          <w:b w:val="0"/>
          <w:i/>
        </w:rPr>
        <w:t>Decisión a tomar antes de la semana 3.</w:t>
      </w:r>
    </w:p>
    <w:sectPr w:rsidR="00FC693F" w:rsidRPr="0006063C" w:rsidSect="00034616">
      <w:pgSz w:w="11906" w:h="16838"/>
      <w:pgMar w:top="1701" w:right="1417" w:bottom="1701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120" w:before="0"/>
    </w:pPr>
    <w:rPr>
      <w:rFonts w:ascii="Arial" w:hAnsi="Arial" w:cs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/>
      <w:b/>
      <w:bCs/>
      <w:color w:val="1F3A6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/>
      <w:b/>
      <w:bCs/>
      <w:color w:val="1F3A6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/>
      <w:b/>
      <w:bCs/>
      <w:color w:val="1F3A6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1F3A68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