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E7D32"/>
          <w:sz w:val="32"/>
        </w:rPr>
        <w:t>Anexo E — Guion del Video Demo Reel</w:t>
      </w:r>
    </w:p>
    <w:p>
      <w:pPr>
        <w:jc w:val="center"/>
      </w:pPr>
      <w:r>
        <w:rPr>
          <w:rFonts w:ascii="Arial" w:hAnsi="Arial"/>
          <w:i/>
          <w:sz w:val="22"/>
        </w:rPr>
        <w:t>ReciclaPe — Desarrollo de Aplicaciones Web II (4697)</w:t>
      </w:r>
    </w:p>
    <w:p>
      <w:r>
        <w:rPr>
          <w:rFonts w:ascii="Arial" w:hAnsi="Arial"/>
          <w:b w:val="0"/>
          <w:i w:val="0"/>
          <w:sz w:val="22"/>
        </w:rPr>
      </w:r>
    </w:p>
    <w:p>
      <w:r>
        <w:rPr>
          <w:rFonts w:ascii="Arial" w:hAnsi="Arial"/>
          <w:b w:val="0"/>
          <w:i w:val="0"/>
          <w:sz w:val="22"/>
        </w:rPr>
        <w:t>Duración objetivo: 3 a 5 minutos. El video NO reemplaza la sustentación (manual §5.7). Recomendación de grabación: 1080p, screen-recording con OBS Studio, voz en off clara, subtítulos opcionales. Mostrar siempre la URL/acción en pantalla.</w:t>
      </w:r>
    </w:p>
    <w:p>
      <w:r>
        <w:rPr>
          <w:rFonts w:ascii="Arial" w:hAnsi="Arial"/>
          <w:b/>
          <w:color w:val="2E7D32"/>
          <w:sz w:val="26"/>
        </w:rPr>
        <w:t>1. Ficha técnica del video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  <w:t>Formato</w:t>
            </w:r>
          </w:p>
        </w:tc>
        <w:tc>
          <w:tcPr>
            <w:tcW w:type="dxa" w:w="4536"/>
          </w:tcPr>
          <w:p>
            <w:r>
              <w:t>MP4 (H.264), 1920×1080, 30 fps</w:t>
            </w:r>
          </w:p>
        </w:tc>
      </w:tr>
      <w:tr>
        <w:tc>
          <w:tcPr>
            <w:tcW w:type="dxa" w:w="4536"/>
          </w:tcPr>
          <w:p>
            <w:r>
              <w:rPr>
                <w:b/>
              </w:rPr>
              <w:t>Duración</w:t>
            </w:r>
          </w:p>
        </w:tc>
        <w:tc>
          <w:tcPr>
            <w:tcW w:type="dxa" w:w="4536"/>
          </w:tcPr>
          <w:p>
            <w:r>
              <w:t>3:00 – 5:00 min</w:t>
            </w:r>
          </w:p>
        </w:tc>
      </w:tr>
      <w:tr>
        <w:tc>
          <w:tcPr>
            <w:tcW w:type="dxa" w:w="4536"/>
          </w:tcPr>
          <w:p>
            <w:r>
              <w:rPr>
                <w:b/>
              </w:rPr>
              <w:t>Audio</w:t>
            </w:r>
          </w:p>
        </w:tc>
        <w:tc>
          <w:tcPr>
            <w:tcW w:type="dxa" w:w="4536"/>
          </w:tcPr>
          <w:p>
            <w:r>
              <w:t>Narración en off + música de fondo suave (libre de derechos)</w:t>
            </w:r>
          </w:p>
        </w:tc>
      </w:tr>
      <w:tr>
        <w:tc>
          <w:tcPr>
            <w:tcW w:type="dxa" w:w="4536"/>
          </w:tcPr>
          <w:p>
            <w:r>
              <w:rPr>
                <w:b/>
              </w:rPr>
              <w:t>Herramientas sugeridas</w:t>
            </w:r>
          </w:p>
        </w:tc>
        <w:tc>
          <w:tcPr>
            <w:tcW w:type="dxa" w:w="4536"/>
          </w:tcPr>
          <w:p>
            <w:r>
              <w:t>OBS Studio (captura), Canva / CapCut (edición), intro con logo</w:t>
            </w:r>
          </w:p>
        </w:tc>
      </w:tr>
      <w:tr>
        <w:tc>
          <w:tcPr>
            <w:tcW w:type="dxa" w:w="4536"/>
          </w:tcPr>
          <w:p>
            <w:r>
              <w:rPr>
                <w:b/>
              </w:rPr>
              <w:t>Entregable</w:t>
            </w:r>
          </w:p>
        </w:tc>
        <w:tc>
          <w:tcPr>
            <w:tcW w:type="dxa" w:w="4536"/>
          </w:tcPr>
          <w:p>
            <w:r>
              <w:t>ReciclaPe-DemoReel.mp4</w:t>
            </w:r>
          </w:p>
        </w:tc>
      </w:tr>
    </w:tbl>
    <w:p>
      <w:r>
        <w:rPr>
          <w:rFonts w:ascii="Arial" w:hAnsi="Arial"/>
          <w:b w:val="0"/>
          <w:i w:val="0"/>
          <w:sz w:val="22"/>
        </w:rPr>
      </w:r>
    </w:p>
    <w:p>
      <w:r>
        <w:rPr>
          <w:rFonts w:ascii="Arial" w:hAnsi="Arial"/>
          <w:b/>
          <w:color w:val="2E7D32"/>
          <w:sz w:val="26"/>
        </w:rPr>
        <w:t>2. Guion por escenas (storyboard)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</w:rPr>
              <w:t>Tiempo</w:t>
            </w:r>
          </w:p>
        </w:tc>
        <w:tc>
          <w:tcPr>
            <w:tcW w:type="dxa" w:w="2268"/>
          </w:tcPr>
          <w:p>
            <w:r>
              <w:rPr>
                <w:b/>
              </w:rPr>
              <w:t>Escena</w:t>
            </w:r>
          </w:p>
        </w:tc>
        <w:tc>
          <w:tcPr>
            <w:tcW w:type="dxa" w:w="2268"/>
          </w:tcPr>
          <w:p>
            <w:r>
              <w:rPr>
                <w:b/>
              </w:rPr>
              <w:t>En pantalla</w:t>
            </w:r>
          </w:p>
        </w:tc>
        <w:tc>
          <w:tcPr>
            <w:tcW w:type="dxa" w:w="2268"/>
          </w:tcPr>
          <w:p>
            <w:r>
              <w:rPr>
                <w:b/>
              </w:rPr>
              <w:t>Narración (voz en off)</w:t>
            </w:r>
          </w:p>
        </w:tc>
      </w:tr>
      <w:tr>
        <w:tc>
          <w:tcPr>
            <w:tcW w:type="dxa" w:w="2268"/>
          </w:tcPr>
          <w:p>
            <w:r>
              <w:t>00:00 – 00:20</w:t>
            </w:r>
          </w:p>
        </w:tc>
        <w:tc>
          <w:tcPr>
            <w:tcW w:type="dxa" w:w="2268"/>
          </w:tcPr>
          <w:p>
            <w:r>
              <w:rPr>
                <w:b/>
              </w:rPr>
              <w:t>Intro / Portada</w:t>
            </w:r>
          </w:p>
        </w:tc>
        <w:tc>
          <w:tcPr>
            <w:tcW w:type="dxa" w:w="2268"/>
          </w:tcPr>
          <w:p>
            <w:r>
              <w:t>Logo ReciclaPe + título y nombres del equipo.</w:t>
            </w:r>
          </w:p>
        </w:tc>
        <w:tc>
          <w:tcPr>
            <w:tcW w:type="dxa" w:w="2268"/>
          </w:tcPr>
          <w:p>
            <w:r>
              <w:t>"ReciclaPe es una plataforma de gestión de reciclaje vecinal construida con una arquitectura de microservicios. Conecta vecinos con recicladores formales y mide el impacto ambiental generado."</w:t>
            </w:r>
          </w:p>
        </w:tc>
      </w:tr>
      <w:tr>
        <w:tc>
          <w:tcPr>
            <w:tcW w:type="dxa" w:w="2268"/>
          </w:tcPr>
          <w:p>
            <w:r>
              <w:t>00:20 – 00:45</w:t>
            </w:r>
          </w:p>
        </w:tc>
        <w:tc>
          <w:tcPr>
            <w:tcW w:type="dxa" w:w="2268"/>
          </w:tcPr>
          <w:p>
            <w:r>
              <w:rPr>
                <w:b/>
              </w:rPr>
              <w:t>El problema y la solución</w:t>
            </w:r>
          </w:p>
        </w:tc>
        <w:tc>
          <w:tcPr>
            <w:tcW w:type="dxa" w:w="2268"/>
          </w:tcPr>
          <w:p>
            <w:r>
              <w:t>Datos clave en pantalla: 9 343 t/día de residuos en Lima, solo 3.9% reciclado. Esquema simple vecino → reciclador.</w:t>
            </w:r>
          </w:p>
        </w:tc>
        <w:tc>
          <w:tcPr>
            <w:tcW w:type="dxa" w:w="2268"/>
          </w:tcPr>
          <w:p>
            <w:r>
              <w:t>"En Lima se generan más de 9 mil toneladas de residuos al día y se recicla menos del 4%. ReciclaPe reduce la fricción entre quien segrega y quien recicla."</w:t>
            </w:r>
          </w:p>
        </w:tc>
      </w:tr>
      <w:tr>
        <w:tc>
          <w:tcPr>
            <w:tcW w:type="dxa" w:w="2268"/>
          </w:tcPr>
          <w:p>
            <w:r>
              <w:t>00:45 – 01:15</w:t>
            </w:r>
          </w:p>
        </w:tc>
        <w:tc>
          <w:tcPr>
            <w:tcW w:type="dxa" w:w="2268"/>
          </w:tcPr>
          <w:p>
            <w:r>
              <w:rPr>
                <w:b/>
              </w:rPr>
              <w:t>Arquitectura</w:t>
            </w:r>
          </w:p>
        </w:tc>
        <w:tc>
          <w:tcPr>
            <w:tcW w:type="dxa" w:w="2268"/>
          </w:tcPr>
          <w:p>
            <w:r>
              <w:t>Mostrar el diagrama de arquitectura (Anexo A): gateway, eureka, auth, recojo, reporte, RabbitMQ, Prometheus/Grafana.</w:t>
            </w:r>
          </w:p>
        </w:tc>
        <w:tc>
          <w:tcPr>
            <w:tcW w:type="dxa" w:w="2268"/>
          </w:tcPr>
          <w:p>
            <w:r>
              <w:t>"El backend son microservicios Spring Boot tras un API Gateway: autenticación con JWT y BCrypt, gestión de recojos, y reportes que se comunican por Feign y RabbitMQ."</w:t>
            </w:r>
          </w:p>
        </w:tc>
      </w:tr>
      <w:tr>
        <w:tc>
          <w:tcPr>
            <w:tcW w:type="dxa" w:w="2268"/>
          </w:tcPr>
          <w:p>
            <w:r>
              <w:t>01:15 – 01:45</w:t>
            </w:r>
          </w:p>
        </w:tc>
        <w:tc>
          <w:tcPr>
            <w:tcW w:type="dxa" w:w="2268"/>
          </w:tcPr>
          <w:p>
            <w:r>
              <w:rPr>
                <w:b/>
              </w:rPr>
              <w:t>Login (rol Vecino)</w:t>
            </w:r>
          </w:p>
        </w:tc>
        <w:tc>
          <w:tcPr>
            <w:tcW w:type="dxa" w:w="2268"/>
          </w:tcPr>
          <w:p>
            <w:r>
              <w:t>Pantalla de login. Ingresar credenciales. Mostrar brevemente el token JWT en DevTools / Network.</w:t>
            </w:r>
          </w:p>
        </w:tc>
        <w:tc>
          <w:tcPr>
            <w:tcW w:type="dxa" w:w="2268"/>
          </w:tcPr>
          <w:p>
            <w:r>
              <w:t>"El login valida el password cifrado con BCrypt y emite un JWT firmado que el frontend usa en cada petición."</w:t>
            </w:r>
          </w:p>
        </w:tc>
      </w:tr>
      <w:tr>
        <w:tc>
          <w:tcPr>
            <w:tcW w:type="dxa" w:w="2268"/>
          </w:tcPr>
          <w:p>
            <w:r>
              <w:t>01:45 – 02:30</w:t>
            </w:r>
          </w:p>
        </w:tc>
        <w:tc>
          <w:tcPr>
            <w:tcW w:type="dxa" w:w="2268"/>
          </w:tcPr>
          <w:p>
            <w:r>
              <w:rPr>
                <w:b/>
              </w:rPr>
              <w:t>Flujo del Vecino</w:t>
            </w:r>
          </w:p>
        </w:tc>
        <w:tc>
          <w:tcPr>
            <w:tcW w:type="dxa" w:w="2268"/>
          </w:tcPr>
          <w:p>
            <w:r>
              <w:t>Crear un punto de acopio (CRUD), solicitar un recojo, ver el historial.</w:t>
            </w:r>
          </w:p>
        </w:tc>
        <w:tc>
          <w:tcPr>
            <w:tcW w:type="dxa" w:w="2268"/>
          </w:tcPr>
          <w:p>
            <w:r>
              <w:t>"El vecino registra sus puntos de acopio y solicita un recojo de sus residuos segregados."</w:t>
            </w:r>
          </w:p>
        </w:tc>
      </w:tr>
      <w:tr>
        <w:tc>
          <w:tcPr>
            <w:tcW w:type="dxa" w:w="2268"/>
          </w:tcPr>
          <w:p>
            <w:r>
              <w:t>02:30 – 03:15</w:t>
            </w:r>
          </w:p>
        </w:tc>
        <w:tc>
          <w:tcPr>
            <w:tcW w:type="dxa" w:w="2268"/>
          </w:tcPr>
          <w:p>
            <w:r>
              <w:rPr>
                <w:b/>
              </w:rPr>
              <w:t>Flujo del Reciclador</w:t>
            </w:r>
          </w:p>
        </w:tc>
        <w:tc>
          <w:tcPr>
            <w:tcW w:type="dxa" w:w="2268"/>
          </w:tcPr>
          <w:p>
            <w:r>
              <w:t>Login como reciclador. Ver recojos disponibles, aceptar uno, completarlo registrando kilogramos por tipo de residuo.</w:t>
            </w:r>
          </w:p>
        </w:tc>
        <w:tc>
          <w:tcPr>
            <w:tcW w:type="dxa" w:w="2268"/>
          </w:tcPr>
          <w:p>
            <w:r>
              <w:t>"El reciclador ve los recojos disponibles, acepta uno y al completarlo registra los kilogramos recuperados por tipo de residuo. Esto dispara un evento en RabbitMQ."</w:t>
            </w:r>
          </w:p>
        </w:tc>
      </w:tr>
      <w:tr>
        <w:tc>
          <w:tcPr>
            <w:tcW w:type="dxa" w:w="2268"/>
          </w:tcPr>
          <w:p>
            <w:r>
              <w:t>03:15 – 03:50</w:t>
            </w:r>
          </w:p>
        </w:tc>
        <w:tc>
          <w:tcPr>
            <w:tcW w:type="dxa" w:w="2268"/>
          </w:tcPr>
          <w:p>
            <w:r>
              <w:rPr>
                <w:b/>
              </w:rPr>
              <w:t>Dashboard de impacto (rol Admin)</w:t>
            </w:r>
          </w:p>
        </w:tc>
        <w:tc>
          <w:tcPr>
            <w:tcW w:type="dxa" w:w="2268"/>
          </w:tcPr>
          <w:p>
            <w:r>
              <w:t>Login como administrador. Mostrar dashboard distrital: kg recuperados, CO₂ evitado, número de recojos. Mostrar gráfico.</w:t>
            </w:r>
          </w:p>
        </w:tc>
        <w:tc>
          <w:tcPr>
            <w:tcW w:type="dxa" w:w="2268"/>
          </w:tcPr>
          <w:p>
            <w:r>
              <w:t>"El administrador municipal visualiza el impacto agregado: kilogramos recuperados, CO₂ evitado y recojos completados, calculados por el servicio de reportes."</w:t>
            </w:r>
          </w:p>
        </w:tc>
      </w:tr>
      <w:tr>
        <w:tc>
          <w:tcPr>
            <w:tcW w:type="dxa" w:w="2268"/>
          </w:tcPr>
          <w:p>
            <w:r>
              <w:t>03:50 – 04:25</w:t>
            </w:r>
          </w:p>
        </w:tc>
        <w:tc>
          <w:tcPr>
            <w:tcW w:type="dxa" w:w="2268"/>
          </w:tcPr>
          <w:p>
            <w:r>
              <w:rPr>
                <w:b/>
              </w:rPr>
              <w:t>Observabilidad y despliegue</w:t>
            </w:r>
          </w:p>
        </w:tc>
        <w:tc>
          <w:tcPr>
            <w:tcW w:type="dxa" w:w="2268"/>
          </w:tcPr>
          <w:p>
            <w:r>
              <w:t>Mostrar `docker compose ps` con los contenedores arriba, Eureka con servicios registrados, un dashboard de Grafana con métricas de latencia.</w:t>
            </w:r>
          </w:p>
        </w:tc>
        <w:tc>
          <w:tcPr>
            <w:tcW w:type="dxa" w:w="2268"/>
          </w:tcPr>
          <w:p>
            <w:r>
              <w:t>"Todo el stack se levanta con un solo docker compose up. Spring Boot Actuator expone métricas a Prometheus y las visualizamos en Grafana."</w:t>
            </w:r>
          </w:p>
        </w:tc>
      </w:tr>
      <w:tr>
        <w:tc>
          <w:tcPr>
            <w:tcW w:type="dxa" w:w="2268"/>
          </w:tcPr>
          <w:p>
            <w:r>
              <w:t>04:25 – 05:00</w:t>
            </w:r>
          </w:p>
        </w:tc>
        <w:tc>
          <w:tcPr>
            <w:tcW w:type="dxa" w:w="2268"/>
          </w:tcPr>
          <w:p>
            <w:r>
              <w:rPr>
                <w:b/>
              </w:rPr>
              <w:t>Cierre</w:t>
            </w:r>
          </w:p>
        </w:tc>
        <w:tc>
          <w:tcPr>
            <w:tcW w:type="dxa" w:w="2268"/>
          </w:tcPr>
          <w:p>
            <w:r>
              <w:t>Resumen de cumplimiento (rúbrica + sílabo) y logo final con datos del equipo.</w:t>
            </w:r>
          </w:p>
        </w:tc>
        <w:tc>
          <w:tcPr>
            <w:tcW w:type="dxa" w:w="2268"/>
          </w:tcPr>
          <w:p>
            <w:r>
              <w:t>"ReciclaPe demuestra microservicios, seguridad, resiliencia, contenerización y observabilidad. Gracias por ver nuestro proyecto."</w:t>
            </w:r>
          </w:p>
        </w:tc>
      </w:tr>
    </w:tbl>
    <w:p>
      <w:r>
        <w:rPr>
          <w:rFonts w:ascii="Arial" w:hAnsi="Arial"/>
          <w:b w:val="0"/>
          <w:i w:val="0"/>
          <w:sz w:val="22"/>
        </w:rPr>
      </w:r>
    </w:p>
    <w:p>
      <w:r>
        <w:rPr>
          <w:rFonts w:ascii="Arial" w:hAnsi="Arial"/>
          <w:b/>
          <w:color w:val="2E7D32"/>
          <w:sz w:val="26"/>
        </w:rPr>
        <w:t>3. Checklist antes de grabar</w:t>
      </w:r>
    </w:p>
    <w:p>
      <w:pPr>
        <w:pStyle w:val="ListBullet"/>
      </w:pPr>
      <w:r>
        <w:rPr>
          <w:rFonts w:ascii="Arial" w:hAnsi="Arial"/>
          <w:sz w:val="22"/>
        </w:rPr>
        <w:t>Base de datos cargada con el script del Anexo B (datos semilla).</w:t>
      </w:r>
    </w:p>
    <w:p>
      <w:pPr>
        <w:pStyle w:val="ListBullet"/>
      </w:pPr>
      <w:r>
        <w:rPr>
          <w:rFonts w:ascii="Arial" w:hAnsi="Arial"/>
          <w:sz w:val="22"/>
        </w:rPr>
        <w:t>Todos los contenedores levantados (docker compose up) y servicios registrados en Eureka.</w:t>
      </w:r>
    </w:p>
    <w:p>
      <w:pPr>
        <w:pStyle w:val="ListBullet"/>
      </w:pPr>
      <w:r>
        <w:rPr>
          <w:rFonts w:ascii="Arial" w:hAnsi="Arial"/>
          <w:sz w:val="22"/>
        </w:rPr>
        <w:t>Usuarios de prueba listos: vecino, reciclador y admin (password ReciclaPe2026).</w:t>
      </w:r>
    </w:p>
    <w:p>
      <w:pPr>
        <w:pStyle w:val="ListBullet"/>
      </w:pPr>
      <w:r>
        <w:rPr>
          <w:rFonts w:ascii="Arial" w:hAnsi="Arial"/>
          <w:sz w:val="22"/>
        </w:rPr>
        <w:t>Cerrar pestañas y notificaciones; ocultar datos sensibles.</w:t>
      </w:r>
    </w:p>
    <w:p>
      <w:pPr>
        <w:pStyle w:val="ListBullet"/>
      </w:pPr>
      <w:r>
        <w:rPr>
          <w:rFonts w:ascii="Arial" w:hAnsi="Arial"/>
          <w:sz w:val="22"/>
        </w:rPr>
        <w:t>Ensayar la narración para no exceder 5 minutos.</w:t>
      </w:r>
    </w:p>
    <w:p>
      <w:pPr>
        <w:pStyle w:val="ListBullet"/>
      </w:pPr>
      <w:r>
        <w:rPr>
          <w:rFonts w:ascii="Arial" w:hAnsi="Arial"/>
          <w:sz w:val="22"/>
        </w:rPr>
        <w:t>Exportar en 1080p y revisar audio antes de entregar.</w:t>
      </w:r>
    </w:p>
    <w:sectPr w:rsidR="00FC693F" w:rsidRPr="0006063C" w:rsidSect="00034616">
      <w:pgSz w:w="11906" w:h="16838"/>
      <w:pgMar w:top="1701" w:right="1417" w:bottom="170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