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98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44"/>
          <w:szCs w:val="44"/>
        </w:rPr>
      </w:pPr>
      <w:bookmarkStart w:id="0" w:name="_Toc23879"/>
      <w:r>
        <w:rPr>
          <w:rFonts w:hint="eastAsia" w:ascii="黑体" w:hAnsi="黑体" w:eastAsia="黑体" w:cs="黑体"/>
          <w:b/>
          <w:bCs/>
          <w:sz w:val="44"/>
          <w:szCs w:val="44"/>
        </w:rPr>
        <w:t>工业现场数据采集与追溯系统 (Mini-MES)</w:t>
      </w:r>
      <w:bookmarkEnd w:id="0"/>
    </w:p>
    <w:p w14:paraId="25509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软件需求规格说明书</w:t>
      </w:r>
    </w:p>
    <w:p w14:paraId="2192B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3D8F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华文楷体" w:hAnsi="华文楷体" w:eastAsia="华文楷体" w:cs="华文楷体"/>
          <w:sz w:val="21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文档编号：MiniMES-SRS-V1.</w:t>
      </w:r>
      <w:r>
        <w:rPr>
          <w:rFonts w:hint="eastAsia" w:ascii="华文楷体" w:hAnsi="华文楷体" w:eastAsia="华文楷体" w:cs="华文楷体"/>
          <w:sz w:val="21"/>
          <w:szCs w:val="21"/>
          <w:lang w:val="en-US" w:eastAsia="zh-CN"/>
        </w:rPr>
        <w:t>1</w:t>
      </w:r>
    </w:p>
    <w:p w14:paraId="4F1D1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华文楷体" w:hAnsi="华文楷体" w:eastAsia="华文楷体" w:cs="华文楷体"/>
          <w:sz w:val="21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版本号：V1.</w:t>
      </w:r>
      <w:r>
        <w:rPr>
          <w:rFonts w:hint="eastAsia" w:ascii="华文楷体" w:hAnsi="华文楷体" w:eastAsia="华文楷体" w:cs="华文楷体"/>
          <w:sz w:val="21"/>
          <w:szCs w:val="21"/>
          <w:lang w:val="en-US" w:eastAsia="zh-CN"/>
        </w:rPr>
        <w:t>1</w:t>
      </w:r>
    </w:p>
    <w:p w14:paraId="4C7BA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华文楷体" w:hAnsi="华文楷体" w:eastAsia="华文楷体" w:cs="华文楷体"/>
          <w:sz w:val="21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拟制人：</w:t>
      </w:r>
      <w:r>
        <w:rPr>
          <w:rFonts w:hint="eastAsia" w:ascii="华文楷体" w:hAnsi="华文楷体" w:eastAsia="华文楷体" w:cs="华文楷体"/>
          <w:sz w:val="21"/>
          <w:szCs w:val="21"/>
          <w:lang w:val="en-US" w:eastAsia="zh-CN"/>
        </w:rPr>
        <w:t>李钦正</w:t>
      </w:r>
    </w:p>
    <w:p w14:paraId="14F84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日期：2026-02-02</w:t>
      </w:r>
    </w:p>
    <w:p w14:paraId="0B285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密级：内部公开</w:t>
      </w:r>
    </w:p>
    <w:p w14:paraId="6C5F1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1CE3D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6B0A5453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5309EDE7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5BF8E747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498722B0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6E1874A7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46952860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31C1CDFF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54904CAD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15609D90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16AEBE51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1340BFA0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364966BE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431100A2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5D23DA7F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5A502053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7F3B8857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77417976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6C4A96D9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5C731076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6AE08B76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44A67046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75900F41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396A2ED3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537D05CF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5DF2D105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305B2707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537F6610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4682504B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2DC66F04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4DE8F0B6">
      <w:pPr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sdt>
      <w:sdtPr>
        <w:rPr>
          <w:rFonts w:ascii="宋体" w:hAnsi="宋体" w:eastAsia="宋体" w:cstheme="minorBidi"/>
          <w:b/>
          <w:bCs/>
          <w:kern w:val="2"/>
          <w:sz w:val="44"/>
          <w:szCs w:val="44"/>
          <w:lang w:val="en-US" w:eastAsia="zh-CN" w:bidi="ar-SA"/>
        </w:rPr>
        <w:id w:val="147462731"/>
        <w15:color w:val="DBDBDB"/>
        <w:docPartObj>
          <w:docPartGallery w:val="Table of Contents"/>
          <w:docPartUnique/>
        </w:docPartObj>
      </w:sdtPr>
      <w:sdtEndPr>
        <w:rPr>
          <w:rFonts w:hint="eastAsia" w:ascii="华文楷体" w:hAnsi="华文楷体" w:eastAsia="华文楷体" w:cs="华文楷体"/>
          <w:b/>
          <w:bCs/>
          <w:kern w:val="2"/>
          <w:sz w:val="21"/>
          <w:szCs w:val="21"/>
          <w:lang w:val="en-US" w:eastAsia="zh-CN" w:bidi="ar-SA"/>
        </w:rPr>
      </w:sdtEndPr>
      <w:sdtContent>
        <w:p w14:paraId="5CBA48D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b/>
              <w:bCs/>
              <w:sz w:val="44"/>
              <w:szCs w:val="44"/>
            </w:rPr>
          </w:pPr>
          <w:r>
            <w:rPr>
              <w:rFonts w:ascii="宋体" w:hAnsi="宋体" w:eastAsia="宋体"/>
              <w:b/>
              <w:bCs/>
              <w:sz w:val="44"/>
              <w:szCs w:val="44"/>
            </w:rPr>
            <w:t>目录</w:t>
          </w:r>
        </w:p>
        <w:p w14:paraId="3F600A4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b/>
              <w:bCs/>
              <w:sz w:val="44"/>
              <w:szCs w:val="44"/>
            </w:rPr>
          </w:pPr>
        </w:p>
        <w:p w14:paraId="7B648C46">
          <w:pPr>
            <w:pStyle w:val="3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 w:val="21"/>
              <w:szCs w:val="21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华文楷体" w:hAnsi="华文楷体" w:eastAsia="华文楷体" w:cs="华文楷体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_Toc23879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44"/>
            </w:rPr>
            <w:t>工业现场数据采集与追溯系统 (Mini-MES)</w:t>
          </w:r>
          <w:r>
            <w:tab/>
          </w:r>
          <w:r>
            <w:fldChar w:fldCharType="begin"/>
          </w:r>
          <w:r>
            <w:instrText xml:space="preserve"> PAGEREF _Toc23879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71488111">
          <w:pPr>
            <w:pStyle w:val="3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_Toc1621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8"/>
            </w:rPr>
            <w:t>1. 引言 (Introduction)</w:t>
          </w:r>
          <w:r>
            <w:tab/>
          </w:r>
          <w:r>
            <w:fldChar w:fldCharType="begin"/>
          </w:r>
          <w:r>
            <w:instrText xml:space="preserve"> PAGEREF _Toc1621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27A73218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_Toc4790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_Toc4790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0C85C41D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_Toc31843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_Toc31843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7D853CD1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_Toc25245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2.1 源头端：喷码机 (Printer)</w:t>
          </w:r>
          <w:r>
            <w:tab/>
          </w:r>
          <w:r>
            <w:fldChar w:fldCharType="begin"/>
          </w:r>
          <w:r>
            <w:instrText xml:space="preserve"> PAGEREF _Toc25245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154705B2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_Toc5920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2.2 边缘端：产线工控机/树莓派 (Edge Node</w:t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>)</w:t>
          </w:r>
          <w:r>
            <w:tab/>
          </w:r>
          <w:r>
            <w:fldChar w:fldCharType="begin"/>
          </w:r>
          <w:r>
            <w:instrText xml:space="preserve"> PAGEREF _Toc5920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0D109224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_Toc4402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2.3 服务端：后端服务器 (Backend Server)</w:t>
          </w:r>
          <w:r>
            <w:tab/>
          </w:r>
          <w:r>
            <w:fldChar w:fldCharType="begin"/>
          </w:r>
          <w:r>
            <w:instrText xml:space="preserve"> PAGEREF _Toc4402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242076C5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_Toc13466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2.4 用户端：Web 管理后台/补录端 (Client)</w:t>
          </w:r>
          <w:r>
            <w:tab/>
          </w:r>
          <w:r>
            <w:fldChar w:fldCharType="begin"/>
          </w:r>
          <w:r>
            <w:instrText xml:space="preserve"> PAGEREF _Toc13466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599FCC18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_Toc19513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8"/>
            </w:rPr>
            <w:t>3. 关键业务流程与数据流 (Critical Data Flow)</w:t>
          </w:r>
          <w:r>
            <w:tab/>
          </w:r>
          <w:r>
            <w:fldChar w:fldCharType="begin"/>
          </w:r>
          <w:r>
            <w:instrText xml:space="preserve"> PAGEREF _Toc19513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41E9C8FD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_Toc7113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(1) 数据生成</w:t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>：</w:t>
          </w:r>
          <w:r>
            <w:tab/>
          </w:r>
          <w:r>
            <w:fldChar w:fldCharType="begin"/>
          </w:r>
          <w:r>
            <w:instrText xml:space="preserve"> PAGEREF _Toc7113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67106C58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_Toc22018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(2) 边缘处理：</w:t>
          </w:r>
          <w:r>
            <w:tab/>
          </w:r>
          <w:r>
            <w:fldChar w:fldCharType="begin"/>
          </w:r>
          <w:r>
            <w:instrText xml:space="preserve"> PAGEREF _Toc22018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63213C71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_Toc10253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(3) 数据上云</w:t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>：</w:t>
          </w:r>
          <w:r>
            <w:tab/>
          </w:r>
          <w:r>
            <w:fldChar w:fldCharType="begin"/>
          </w:r>
          <w:r>
            <w:instrText xml:space="preserve"> PAGEREF _Toc10253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4CBE2267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_Toc32117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(4) 数据应用：</w:t>
          </w:r>
          <w:r>
            <w:tab/>
          </w:r>
          <w:r>
            <w:fldChar w:fldCharType="begin"/>
          </w:r>
          <w:r>
            <w:instrText xml:space="preserve"> PAGEREF _Toc32117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38AC6B31">
          <w:pPr>
            <w:pStyle w:val="3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_Toc29074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8"/>
            </w:rPr>
            <w:t>4. 功能需求说明 (Functional Requirements)</w:t>
          </w:r>
          <w:r>
            <w:tab/>
          </w:r>
          <w:r>
            <w:fldChar w:fldCharType="begin"/>
          </w:r>
          <w:r>
            <w:instrText xml:space="preserve"> PAGEREF _Toc29074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43E4CC06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_Toc29549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4.1 数据采集接口模块</w:t>
          </w:r>
          <w:r>
            <w:tab/>
          </w:r>
          <w:r>
            <w:fldChar w:fldCharType="begin"/>
          </w:r>
          <w:r>
            <w:instrText xml:space="preserve"> PAGEREF _Toc29549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4AF2E9E1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_Toc25018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4.2 Web 管理端模块</w:t>
          </w:r>
          <w:r>
            <w:tab/>
          </w:r>
          <w:r>
            <w:fldChar w:fldCharType="begin"/>
          </w:r>
          <w:r>
            <w:instrText xml:space="preserve"> PAGEREF _Toc25018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772CBC9C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_Toc20457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4.3 异常处理与补录模块</w:t>
          </w:r>
          <w:r>
            <w:tab/>
          </w:r>
          <w:r>
            <w:fldChar w:fldCharType="begin"/>
          </w:r>
          <w:r>
            <w:instrText xml:space="preserve"> PAGEREF _Toc20457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590349E1">
          <w:pPr>
            <w:pStyle w:val="3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_Toc23557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8"/>
            </w:rPr>
            <w:t>5. 非功能需求 (Non-functional Requirements)</w:t>
          </w:r>
          <w:r>
            <w:tab/>
          </w:r>
          <w:r>
            <w:fldChar w:fldCharType="begin"/>
          </w:r>
          <w:r>
            <w:instrText xml:space="preserve"> PAGEREF _Toc23557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66C2F5A0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_Toc28136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5.1 安全性 (Security)</w:t>
          </w:r>
          <w:r>
            <w:tab/>
          </w:r>
          <w:r>
            <w:fldChar w:fldCharType="begin"/>
          </w:r>
          <w:r>
            <w:instrText xml:space="preserve"> PAGEREF _Toc28136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1D3B3EE4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_Toc9997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5.2 性能指标 (Performance)</w:t>
          </w:r>
          <w:r>
            <w:tab/>
          </w:r>
          <w:r>
            <w:fldChar w:fldCharType="begin"/>
          </w:r>
          <w:r>
            <w:instrText xml:space="preserve"> PAGEREF _Toc9997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4363FEC4">
          <w:pPr>
            <w:pStyle w:val="4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_Toc15071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4"/>
            </w:rPr>
            <w:t>5.3 可维护性 (Maintainability)</w:t>
          </w:r>
          <w:r>
            <w:tab/>
          </w:r>
          <w:r>
            <w:fldChar w:fldCharType="begin"/>
          </w:r>
          <w:r>
            <w:instrText xml:space="preserve"> PAGEREF _Toc15071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3AE63EF0">
          <w:pPr>
            <w:pStyle w:val="3"/>
            <w:tabs>
              <w:tab w:val="right" w:leader="dot" w:pos="8306"/>
            </w:tabs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instrText xml:space="preserve"> HYPERLINK \l _Toc24211 </w:instrText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8"/>
            </w:rPr>
            <w:t>6. 引用标准 (Reference Standards)</w:t>
          </w:r>
          <w:r>
            <w:tab/>
          </w:r>
          <w:r>
            <w:fldChar w:fldCharType="begin"/>
          </w:r>
          <w:r>
            <w:instrText xml:space="preserve"> PAGEREF _Toc24211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  <w:p w14:paraId="0A494C7A">
          <w:pPr>
            <w:rPr>
              <w:rFonts w:hint="eastAsia" w:ascii="华文楷体" w:hAnsi="华文楷体" w:eastAsia="华文楷体" w:cs="华文楷体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华文楷体" w:hAnsi="华文楷体" w:eastAsia="华文楷体" w:cs="华文楷体"/>
              <w:kern w:val="2"/>
              <w:szCs w:val="21"/>
              <w:lang w:val="en-US" w:eastAsia="zh-CN" w:bidi="ar-SA"/>
            </w:rPr>
            <w:fldChar w:fldCharType="end"/>
          </w:r>
        </w:p>
      </w:sdtContent>
    </w:sdt>
    <w:p w14:paraId="73E0B1FC">
      <w:pPr>
        <w:rPr>
          <w:rFonts w:hint="eastAsia" w:ascii="华文楷体" w:hAnsi="华文楷体" w:eastAsia="华文楷体" w:cs="华文楷体"/>
          <w:kern w:val="2"/>
          <w:sz w:val="21"/>
          <w:szCs w:val="21"/>
          <w:lang w:val="en-US" w:eastAsia="zh-CN" w:bidi="ar-SA"/>
        </w:rPr>
      </w:pPr>
    </w:p>
    <w:p w14:paraId="74B59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楷体" w:hAnsi="华文楷体" w:eastAsia="华文楷体" w:cs="华文楷体"/>
          <w:sz w:val="21"/>
          <w:szCs w:val="21"/>
          <w:lang w:eastAsia="zh-CN"/>
        </w:rPr>
      </w:pPr>
    </w:p>
    <w:p w14:paraId="73040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楷体" w:hAnsi="华文楷体" w:eastAsia="华文楷体" w:cs="华文楷体"/>
          <w:sz w:val="21"/>
          <w:szCs w:val="21"/>
          <w:lang w:val="en-US" w:eastAsia="zh-CN"/>
        </w:rPr>
      </w:pPr>
    </w:p>
    <w:p w14:paraId="65537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7A3D4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7DACB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631D8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7094B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60B7A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00693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68F54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010EA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01A6B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670FE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华文楷体" w:hAnsi="华文楷体" w:eastAsia="华文楷体" w:cs="华文楷体"/>
          <w:sz w:val="21"/>
          <w:szCs w:val="21"/>
        </w:rPr>
      </w:pPr>
    </w:p>
    <w:p w14:paraId="218B3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360" w:lineRule="auto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</w:rPr>
      </w:pPr>
      <w:bookmarkStart w:id="1" w:name="_Toc1621"/>
      <w:r>
        <w:rPr>
          <w:rFonts w:hint="eastAsia" w:ascii="黑体" w:hAnsi="黑体" w:eastAsia="黑体" w:cs="黑体"/>
          <w:b/>
          <w:bCs/>
          <w:sz w:val="28"/>
          <w:szCs w:val="28"/>
        </w:rPr>
        <w:t>1. 引言 (Introduction)</w:t>
      </w:r>
      <w:bookmarkEnd w:id="1"/>
    </w:p>
    <w:p w14:paraId="68FF8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997F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2" w:name="_Toc4790"/>
      <w:r>
        <w:rPr>
          <w:rFonts w:hint="eastAsia" w:ascii="黑体" w:hAnsi="黑体" w:eastAsia="黑体" w:cs="黑体"/>
          <w:b/>
          <w:bCs/>
          <w:sz w:val="24"/>
          <w:szCs w:val="24"/>
        </w:rPr>
        <w:t>1.1 编写目的</w:t>
      </w:r>
      <w:bookmarkEnd w:id="2"/>
    </w:p>
    <w:p w14:paraId="5C2CD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本文档旨在明确“工业现场数据采集与追溯系统”（以下简称 Mini-MES）的系统架构、各终端职责、业务流程及功能需求。本文档依照 GB/T 9385-2008《计算机软件需求规格说明规范》编写，作为项目开发、测试、验收及交付的依据，供项目组共同遵守。</w:t>
      </w:r>
    </w:p>
    <w:p w14:paraId="7E92E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7311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3" w:name="_Toc31843"/>
      <w:r>
        <w:rPr>
          <w:rFonts w:hint="eastAsia" w:ascii="黑体" w:hAnsi="黑体" w:eastAsia="黑体" w:cs="黑体"/>
          <w:b/>
          <w:bCs/>
          <w:sz w:val="24"/>
          <w:szCs w:val="24"/>
        </w:rPr>
        <w:t>1.2 项目背景</w:t>
      </w:r>
      <w:bookmarkEnd w:id="3"/>
    </w:p>
    <w:p w14:paraId="42EC7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当前工厂拥有 10 条并行生产线，货物信息的记录与追溯主要依赖人工或离线系统，存在数据滞后、准确率低、无法跨产线协同等痛点。为提升数字化管理水平，拟开发一套轻量级 MES 系统，实现从货物喷码识别到云端报表的自动化闭环。</w:t>
      </w:r>
    </w:p>
    <w:p w14:paraId="4B65B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6CB8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2. 系统总体架构与角色定义 (System Architecture &amp; Roles)</w:t>
      </w:r>
    </w:p>
    <w:p w14:paraId="3AD77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本系统采用“端-边-云”分层架构设计，各层级终端职责定义如下：</w:t>
      </w:r>
    </w:p>
    <w:p w14:paraId="578A8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D9D3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4" w:name="_Toc25245"/>
      <w:r>
        <w:rPr>
          <w:rFonts w:hint="eastAsia" w:ascii="黑体" w:hAnsi="黑体" w:eastAsia="黑体" w:cs="黑体"/>
          <w:b/>
          <w:bCs/>
          <w:sz w:val="24"/>
          <w:szCs w:val="24"/>
        </w:rPr>
        <w:t>2.1 源头端：喷码机 (Printer)</w:t>
      </w:r>
      <w:bookmarkEnd w:id="4"/>
    </w:p>
    <w:p w14:paraId="3F8A0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归属：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硬件侧</w:t>
      </w:r>
    </w:p>
    <w:p w14:paraId="7A4AD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核心职责：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生产原始数据。</w:t>
      </w:r>
    </w:p>
    <w:p w14:paraId="56930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动作描述：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将产线、SKU、批次、重量等信息组合，使用 AES 密钥加密生成密文，并喷印在货物箱体上。</w:t>
      </w:r>
    </w:p>
    <w:p w14:paraId="2D4FA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231C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5" w:name="_Toc5920"/>
      <w:r>
        <w:rPr>
          <w:rFonts w:hint="eastAsia" w:ascii="黑体" w:hAnsi="黑体" w:eastAsia="黑体" w:cs="黑体"/>
          <w:b/>
          <w:bCs/>
          <w:sz w:val="24"/>
          <w:szCs w:val="24"/>
        </w:rPr>
        <w:t>2.2 边缘端：产线工控机/树莓派 (Edge Node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</w:t>
      </w:r>
      <w:bookmarkEnd w:id="5"/>
    </w:p>
    <w:p w14:paraId="40BD1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部署位置：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每条产线一台（共 10 台）。</w:t>
      </w:r>
    </w:p>
    <w:p w14:paraId="04981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归属：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硬件侧</w:t>
      </w:r>
    </w:p>
    <w:p w14:paraId="74DE7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核心职责：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采集识别 + 本地解密。</w:t>
      </w:r>
    </w:p>
    <w:p w14:paraId="2F604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动作描述：</w:t>
      </w:r>
    </w:p>
    <w:p w14:paraId="196EA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通过机器视觉 (YOLO) 识别喷码区域。</w:t>
      </w:r>
    </w:p>
    <w:p w14:paraId="2AFF3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提取密文字符串。</w:t>
      </w:r>
    </w:p>
    <w:p w14:paraId="11DF5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(3) 调用本地 Python 脚本（持有 AES 密钥）将密文还原为明文业务数据。</w:t>
      </w:r>
    </w:p>
    <w:p w14:paraId="29755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(4) 通过 HTTP 协议将解密后的明文数据上报至服务端。</w:t>
      </w:r>
    </w:p>
    <w:p w14:paraId="59EA1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4FC2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6" w:name="_Toc4402"/>
      <w:r>
        <w:rPr>
          <w:rFonts w:hint="eastAsia" w:ascii="黑体" w:hAnsi="黑体" w:eastAsia="黑体" w:cs="黑体"/>
          <w:b/>
          <w:bCs/>
          <w:sz w:val="24"/>
          <w:szCs w:val="24"/>
        </w:rPr>
        <w:t>2.3 服务端：后端服务器 (Backend Server)</w:t>
      </w:r>
      <w:bookmarkEnd w:id="6"/>
    </w:p>
    <w:p w14:paraId="16386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部署位置：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中心机房或云服务器。</w:t>
      </w:r>
    </w:p>
    <w:p w14:paraId="23045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归属：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软件侧</w:t>
      </w:r>
    </w:p>
    <w:p w14:paraId="6B57B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核心职责：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数据接收 + 逻辑校验 + 持久化存储。</w:t>
      </w:r>
    </w:p>
    <w:p w14:paraId="4AA1B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动作描述：</w:t>
      </w:r>
    </w:p>
    <w:p w14:paraId="44F5F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提供高并发 API 接口接收边缘端数据。</w:t>
      </w:r>
    </w:p>
    <w:p w14:paraId="22C7F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校验数据完整性（不负责解密）。</w:t>
      </w:r>
    </w:p>
    <w:p w14:paraId="10839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(3) 将清洗后的数据写入关系型数据库。</w:t>
      </w:r>
    </w:p>
    <w:p w14:paraId="0259C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E3EB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7" w:name="_Toc13466"/>
      <w:r>
        <w:rPr>
          <w:rFonts w:hint="eastAsia" w:ascii="黑体" w:hAnsi="黑体" w:eastAsia="黑体" w:cs="黑体"/>
          <w:b/>
          <w:bCs/>
          <w:sz w:val="24"/>
          <w:szCs w:val="24"/>
        </w:rPr>
        <w:t>2.4 用户端：Web 管理后台/补录端 (Client)</w:t>
      </w:r>
      <w:bookmarkEnd w:id="7"/>
    </w:p>
    <w:p w14:paraId="4C024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部署形式：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B/S 架构（浏览器访问）。</w:t>
      </w:r>
    </w:p>
    <w:p w14:paraId="15CFF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归属：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软件侧</w:t>
      </w:r>
    </w:p>
    <w:p w14:paraId="1CB5B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核心职责：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数据可视化 + 人工交互。</w:t>
      </w:r>
    </w:p>
    <w:p w14:paraId="0E889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动作描述：</w:t>
      </w:r>
    </w:p>
    <w:p w14:paraId="0743D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管理看板：实时展示产线入库动态与统计图表。</w:t>
      </w:r>
    </w:p>
    <w:p w14:paraId="3E032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人工补录：当边缘端故障时，提供人工录入界面，作为应急兜底方案。</w:t>
      </w:r>
    </w:p>
    <w:p w14:paraId="51510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C1DC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360" w:lineRule="auto"/>
        <w:textAlignment w:val="auto"/>
        <w:outlineLvl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8" w:name="_Toc19513"/>
      <w:r>
        <w:rPr>
          <w:rFonts w:hint="eastAsia" w:ascii="黑体" w:hAnsi="黑体" w:eastAsia="黑体" w:cs="黑体"/>
          <w:b/>
          <w:bCs/>
          <w:sz w:val="28"/>
          <w:szCs w:val="28"/>
        </w:rPr>
        <w:t>3. 关键业务流程与数据流 (Critical Data Flow)</w:t>
      </w:r>
      <w:bookmarkEnd w:id="8"/>
    </w:p>
    <w:p w14:paraId="5944C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系统核心数据流向设计如下：</w:t>
      </w:r>
    </w:p>
    <w:p w14:paraId="19799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4AC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9" w:name="_Toc7113"/>
      <w:r>
        <w:rPr>
          <w:rFonts w:hint="eastAsia" w:ascii="黑体" w:hAnsi="黑体" w:eastAsia="黑体" w:cs="黑体"/>
          <w:b/>
          <w:bCs/>
          <w:sz w:val="24"/>
          <w:szCs w:val="24"/>
        </w:rPr>
        <w:t>(1) 数据生成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  <w:bookmarkEnd w:id="9"/>
    </w:p>
    <w:p w14:paraId="7E0AA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[喷码机]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生成密文 -&gt; 喷印至货物。</w:t>
      </w:r>
    </w:p>
    <w:p w14:paraId="37CB4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10" w:name="_Toc22018"/>
      <w:r>
        <w:rPr>
          <w:rFonts w:hint="eastAsia" w:ascii="黑体" w:hAnsi="黑体" w:eastAsia="黑体" w:cs="黑体"/>
          <w:b/>
          <w:bCs/>
          <w:sz w:val="24"/>
          <w:szCs w:val="24"/>
        </w:rPr>
        <w:t>(2) 边缘处理：</w:t>
      </w:r>
      <w:bookmarkEnd w:id="10"/>
    </w:p>
    <w:p w14:paraId="52928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[工控机]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摄像头扫码 -&gt; 获取密文 -&gt; 本地 AES 解密 -&gt; 生成明文对象 {LineID, SKU, Batch, Weight}。</w:t>
      </w:r>
    </w:p>
    <w:p w14:paraId="558C2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1" w:name="_Toc10253"/>
      <w:r>
        <w:rPr>
          <w:rFonts w:hint="eastAsia" w:ascii="黑体" w:hAnsi="黑体" w:eastAsia="黑体" w:cs="黑体"/>
          <w:b/>
          <w:bCs/>
          <w:sz w:val="24"/>
          <w:szCs w:val="24"/>
        </w:rPr>
        <w:t>(3) 数据上云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  <w:bookmarkEnd w:id="11"/>
    </w:p>
    <w:p w14:paraId="0AFC8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[工控机]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发送 POST 请求 -&gt; [后端 API] 接收 -&gt; 校验通过 -&gt; 存入数据库 production_logs 表。</w:t>
      </w:r>
    </w:p>
    <w:p w14:paraId="2B529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12" w:name="_Toc32117"/>
      <w:r>
        <w:rPr>
          <w:rFonts w:hint="eastAsia" w:ascii="黑体" w:hAnsi="黑体" w:eastAsia="黑体" w:cs="黑体"/>
          <w:b/>
          <w:bCs/>
          <w:sz w:val="24"/>
          <w:szCs w:val="24"/>
        </w:rPr>
        <w:t>(4) 数据应用：</w:t>
      </w:r>
      <w:bookmarkEnd w:id="12"/>
    </w:p>
    <w:p w14:paraId="2D48A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[Web 端]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轮询数据库 -&gt; 更新实时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数据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-&gt; 管理员导出 Excel 报表。</w:t>
      </w:r>
    </w:p>
    <w:p w14:paraId="7CB60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6478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360" w:lineRule="auto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</w:rPr>
      </w:pPr>
      <w:bookmarkStart w:id="13" w:name="_Toc29074"/>
      <w:r>
        <w:rPr>
          <w:rFonts w:hint="eastAsia" w:ascii="黑体" w:hAnsi="黑体" w:eastAsia="黑体" w:cs="黑体"/>
          <w:b/>
          <w:bCs/>
          <w:sz w:val="28"/>
          <w:szCs w:val="28"/>
        </w:rPr>
        <w:t>4. 功能需求说明 (Functional Requirements)</w:t>
      </w:r>
      <w:bookmarkEnd w:id="13"/>
    </w:p>
    <w:p w14:paraId="70342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6252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14" w:name="_Toc29549"/>
      <w:r>
        <w:rPr>
          <w:rFonts w:hint="eastAsia" w:ascii="黑体" w:hAnsi="黑体" w:eastAsia="黑体" w:cs="黑体"/>
          <w:b/>
          <w:bCs/>
          <w:sz w:val="24"/>
          <w:szCs w:val="24"/>
        </w:rPr>
        <w:t>4.1 数据采集接口模块</w:t>
      </w:r>
      <w:bookmarkEnd w:id="14"/>
    </w:p>
    <w:p w14:paraId="1D80C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系统需提供统一的数据接收接口，支持 10 条产线并发调用。</w:t>
      </w:r>
    </w:p>
    <w:p w14:paraId="72A75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功能要求：</w:t>
      </w:r>
    </w:p>
    <w:p w14:paraId="7C5B2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接收边缘端上传的已解密明文数据。</w:t>
      </w:r>
    </w:p>
    <w:p w14:paraId="41C83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支持设备鉴权（验证 Device ID）。</w:t>
      </w:r>
    </w:p>
    <w:p w14:paraId="337A3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(3) 具备数据完整性校验机制（如检查重量、批次是否为空）。</w:t>
      </w:r>
    </w:p>
    <w:p w14:paraId="33870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注意：服务端不持有解密密钥，不执行解密操作。</w:t>
      </w:r>
    </w:p>
    <w:p w14:paraId="171A1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B69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15" w:name="_Toc25018"/>
      <w:r>
        <w:rPr>
          <w:rFonts w:hint="eastAsia" w:ascii="黑体" w:hAnsi="黑体" w:eastAsia="黑体" w:cs="黑体"/>
          <w:b/>
          <w:bCs/>
          <w:sz w:val="24"/>
          <w:szCs w:val="24"/>
        </w:rPr>
        <w:t>4.2 Web 管理端模块</w:t>
      </w:r>
      <w:bookmarkEnd w:id="15"/>
    </w:p>
    <w:p w14:paraId="43B0D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1C363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4.2.1 实时监控看板</w:t>
      </w:r>
    </w:p>
    <w:p w14:paraId="33211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#</w:t>
      </w:r>
      <w:bookmarkStart w:id="22" w:name="_GoBack"/>
      <w:bookmarkEnd w:id="22"/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展示当日 10 条产线的实时入库数量及在线状态。</w:t>
      </w:r>
    </w:p>
    <w:p w14:paraId="323E6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#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滚动展示最新入库记录。</w:t>
      </w:r>
    </w:p>
    <w:p w14:paraId="1C91A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E8AB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4.2.2 生产记录查询与追溯</w:t>
      </w:r>
    </w:p>
    <w:p w14:paraId="21BE2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支持按时间范围、产线编号、产品型号、批次号、操作员等多维度组合查询。</w:t>
      </w:r>
    </w:p>
    <w:p w14:paraId="6EAD0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支持模糊搜索功能。</w:t>
      </w:r>
    </w:p>
    <w:p w14:paraId="6A8C7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FA56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4.2.3 数据导出</w:t>
      </w:r>
    </w:p>
    <w:p w14:paraId="699A6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支持将查询结果导出为标准 .xlsx (Excel) 文件。</w:t>
      </w:r>
    </w:p>
    <w:p w14:paraId="54178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具备大数据量导出性能优化，确保导出 10,000 条数据时系统不卡顿。</w:t>
      </w:r>
    </w:p>
    <w:p w14:paraId="2E52E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A199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16" w:name="_Toc20457"/>
      <w:r>
        <w:rPr>
          <w:rFonts w:hint="eastAsia" w:ascii="黑体" w:hAnsi="黑体" w:eastAsia="黑体" w:cs="黑体"/>
          <w:b/>
          <w:bCs/>
          <w:sz w:val="24"/>
          <w:szCs w:val="24"/>
        </w:rPr>
        <w:t>4.3 异常处理与补录模块</w:t>
      </w:r>
      <w:bookmarkEnd w:id="16"/>
    </w:p>
    <w:p w14:paraId="3C3D6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提供独立的人工补录页面。</w:t>
      </w:r>
    </w:p>
    <w:p w14:paraId="1639F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当机器视觉识别失败时，允许工人手动输入喷码明文信息进行入库，并标记数据来源为“人工补录”。</w:t>
      </w:r>
    </w:p>
    <w:p w14:paraId="3A882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299D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360" w:lineRule="auto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</w:rPr>
      </w:pPr>
      <w:bookmarkStart w:id="17" w:name="_Toc23557"/>
      <w:r>
        <w:rPr>
          <w:rFonts w:hint="eastAsia" w:ascii="黑体" w:hAnsi="黑体" w:eastAsia="黑体" w:cs="黑体"/>
          <w:b/>
          <w:bCs/>
          <w:sz w:val="28"/>
          <w:szCs w:val="28"/>
        </w:rPr>
        <w:t>5. 非功能需求 (Non-functional Requirements)</w:t>
      </w:r>
      <w:bookmarkEnd w:id="17"/>
    </w:p>
    <w:p w14:paraId="43E10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DE06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18" w:name="_Toc28136"/>
      <w:r>
        <w:rPr>
          <w:rFonts w:hint="eastAsia" w:ascii="黑体" w:hAnsi="黑体" w:eastAsia="黑体" w:cs="黑体"/>
          <w:b/>
          <w:bCs/>
          <w:sz w:val="24"/>
          <w:szCs w:val="24"/>
        </w:rPr>
        <w:t>5.1 安全性 (Security)</w:t>
      </w:r>
      <w:bookmarkEnd w:id="18"/>
    </w:p>
    <w:p w14:paraId="6F828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传输加密：建议生产网内部传输，或采用 HTTPS 协议。</w:t>
      </w:r>
    </w:p>
    <w:p w14:paraId="415B6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密钥管理：喷码端与边缘端需严格保管 AES 密钥，服务端数据库仅存储明文业务数据，实现密钥物理隔离。</w:t>
      </w:r>
    </w:p>
    <w:p w14:paraId="674D4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A8CC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19" w:name="_Toc9997"/>
      <w:r>
        <w:rPr>
          <w:rFonts w:hint="eastAsia" w:ascii="黑体" w:hAnsi="黑体" w:eastAsia="黑体" w:cs="黑体"/>
          <w:b/>
          <w:bCs/>
          <w:sz w:val="24"/>
          <w:szCs w:val="24"/>
        </w:rPr>
        <w:t>5.2 性能指标 (Performance)</w:t>
      </w:r>
      <w:bookmarkEnd w:id="19"/>
    </w:p>
    <w:p w14:paraId="3C616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并发能力：支持 10 条产线同时并发上传，API 响应时间 &lt; 200ms。</w:t>
      </w:r>
    </w:p>
    <w:p w14:paraId="0265B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存储容量：数据库设计需支持百万级数据量的存储与毫秒级查询。</w:t>
      </w:r>
    </w:p>
    <w:p w14:paraId="17335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51D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20" w:name="_Toc15071"/>
      <w:r>
        <w:rPr>
          <w:rFonts w:hint="eastAsia" w:ascii="黑体" w:hAnsi="黑体" w:eastAsia="黑体" w:cs="黑体"/>
          <w:b/>
          <w:bCs/>
          <w:sz w:val="24"/>
          <w:szCs w:val="24"/>
        </w:rPr>
        <w:t>5.3 可维护性 (Maintainability)</w:t>
      </w:r>
      <w:bookmarkEnd w:id="20"/>
    </w:p>
    <w:p w14:paraId="1B287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服务端采用 Docker 容器化部署，便于快速迁移与交付。</w:t>
      </w:r>
    </w:p>
    <w:p w14:paraId="11968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系统需保留详细的运行日志 (System Logs)，便于故障排查。</w:t>
      </w:r>
    </w:p>
    <w:p w14:paraId="3995D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4015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360" w:lineRule="auto"/>
        <w:textAlignment w:val="auto"/>
        <w:outlineLvl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1" w:name="_Toc24211"/>
      <w:r>
        <w:rPr>
          <w:rFonts w:hint="eastAsia" w:ascii="黑体" w:hAnsi="黑体" w:eastAsia="黑体" w:cs="黑体"/>
          <w:b/>
          <w:bCs/>
          <w:sz w:val="28"/>
          <w:szCs w:val="28"/>
        </w:rPr>
        <w:t>6. 引用标准 (Reference Standards)</w:t>
      </w:r>
      <w:bookmarkEnd w:id="21"/>
    </w:p>
    <w:p w14:paraId="146A6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本项目开发及文档编制遵循以下国家标准：</w:t>
      </w:r>
    </w:p>
    <w:p w14:paraId="4DEA5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GB/T 8567-2006 《计算机软件文档编制规范》</w:t>
      </w:r>
    </w:p>
    <w:p w14:paraId="3F426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(2) GB/T 9385-2008 《计算机软件需求规格说明规范》</w:t>
      </w:r>
    </w:p>
    <w:p w14:paraId="02CB9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(3) GB/T 16260-2006 《软件工程 产品质量》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12732"/>
    <w:rsid w:val="196842EC"/>
    <w:rsid w:val="36174C78"/>
    <w:rsid w:val="397228F1"/>
    <w:rsid w:val="399A2524"/>
    <w:rsid w:val="39A75606"/>
    <w:rsid w:val="3ECA1D75"/>
    <w:rsid w:val="454938D3"/>
    <w:rsid w:val="4EFC1A8C"/>
    <w:rsid w:val="57096DD9"/>
    <w:rsid w:val="5DD72BDC"/>
    <w:rsid w:val="61715700"/>
    <w:rsid w:val="75F0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1737</Words>
  <Characters>2480</Characters>
  <Lines>0</Lines>
  <Paragraphs>0</Paragraphs>
  <TotalTime>35</TotalTime>
  <ScaleCrop>false</ScaleCrop>
  <LinksUpToDate>false</LinksUpToDate>
  <CharactersWithSpaces>2767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2026-02-02T04:21:00Z</dcterms:created>
  <dc:creator>LJR</dc:creator>
  <cp:lastModifiedBy>WPS_1695032952</cp:lastModifiedBy>
  <dcterms:modified xsi:type="dcterms:W3CDTF">2026-02-02T07:57:02Z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eyJoZGlkIjoiMTM3ZDJmN2RlODRjMTA2NWVlNzM4N2U0OTBiMTIxYjAiLCJ1c2VySWQiOiIxNTQxNjgyMDM4In0=</vt:lpwstr>
  </property>
  <property fmtid="{D5CDD505-2E9C-101B-9397-08002B2CF9AE}" pid="4" name="ICV">
    <vt:lpwstr>B7F0F764C49E413D843EFA2C490D20FE_12</vt:lpwstr>
  </property>
</Properties>
</file>