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2EF55">
      <w:pPr>
        <w:pStyle w:val="17"/>
      </w:pPr>
      <w:bookmarkStart w:id="0" w:name="header"/>
      <w:bookmarkEnd w:id="0"/>
      <w:bookmarkStart w:id="1" w:name="acmicpc-竞赛题目制作流程调研"/>
      <w:bookmarkStart w:id="2" w:name="content"/>
      <w:r>
        <w:t>ACM/ICPC 竞赛题目制作流程</w:t>
      </w:r>
    </w:p>
    <w:p w14:paraId="41EE882A">
      <w:pPr>
        <w:pStyle w:val="2"/>
        <w:widowControl/>
      </w:pPr>
      <w:bookmarkStart w:id="3" w:name="题目构思灵感来源与创新性"/>
      <w:r>
        <w:t>题目构思：灵感来源与创新性</w:t>
      </w:r>
    </w:p>
    <w:p w14:paraId="7400555C">
      <w:pPr>
        <w:pStyle w:val="3"/>
      </w:pPr>
      <w:r>
        <w:t xml:space="preserve">出题的第一步是确定题目的 </w:t>
      </w:r>
      <w:r>
        <w:rPr>
          <w:b/>
        </w:rPr>
        <w:t>核心创意（idea）</w:t>
      </w:r>
      <w:r>
        <w:t>。</w:t>
      </w:r>
      <w:r>
        <w:rPr>
          <w:highlight w:val="yellow"/>
        </w:rPr>
        <w:t>常见灵感来源包括</w:t>
      </w:r>
      <w:r>
        <w:rPr>
          <w:b/>
          <w:highlight w:val="yellow"/>
        </w:rPr>
        <w:t>已有题目</w:t>
      </w:r>
      <w:r>
        <w:rPr>
          <w:highlight w:val="yellow"/>
        </w:rPr>
        <w:t>（参考 Codeforces、51nod 等刷题平台上的题目）、</w:t>
      </w:r>
      <w:r>
        <w:rPr>
          <w:b/>
          <w:highlight w:val="yellow"/>
        </w:rPr>
        <w:t>学过的知识点</w:t>
      </w:r>
      <w:r>
        <w:rPr>
          <w:highlight w:val="yellow"/>
        </w:rPr>
        <w:t>、以及日常生活或游戏中的有趣场景</w:t>
      </w:r>
      <w:r>
        <w:t xml:space="preserve">。例如可以将某个熟悉的情境（老师、社团活动等）作为题目背景，或者将具体情节抽象为数学模型。重要的是保持题目新颖：OIWiki 提到，“一道好题应该新颖……真正的好题，应该能让人脑洞出新的好题”。出题人必须检索确认题目没有与现存题目 </w:t>
      </w:r>
      <w:r>
        <w:rPr>
          <w:b/>
        </w:rPr>
        <w:t>完全一致</w:t>
      </w:r>
      <w:r>
        <w:t xml:space="preserve"> 或 </w:t>
      </w:r>
      <w:r>
        <w:rPr>
          <w:b/>
        </w:rPr>
        <w:t>几乎一致</w:t>
      </w:r>
      <w:r>
        <w:t xml:space="preserve"> 的版本（例如通过搜索引擎避免高相似度题目），否则容易被视为抄袭。官方指南也强调问题描述应避免照搬现有题目。在选择题型时，出题人通常根据比赛定位平衡难度比例，例如传统区域赛中约40%简单、40%中等、20%困难。题型关键词（如“图论”、“DP”、“数学”等）常被用于说明解题思路类别。总之，创意要“服务选手”，突出核心算法思路而非堆砌无关元素，同时确保题意清晰、目标明确。</w:t>
      </w:r>
    </w:p>
    <w:p w14:paraId="0916D3FA">
      <w:pPr>
        <w:widowControl w:val="0"/>
        <w:adjustRightInd w:val="0"/>
        <w:spacing w:before="100" w:after="100" w:afterLines="0" w:afterAutospacing="0" w:line="300" w:lineRule="auto"/>
        <w:ind w:firstLine="482" w:firstLineChars="200"/>
        <w:jc w:val="both"/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算法倒推法（最常见）</w:t>
      </w:r>
    </w:p>
    <w:p w14:paraId="6B56DB73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先决定要考什么知识点（例如：“我想考一道树形DP”），然后构思一个能应用这个算法的抽象模型。</w:t>
      </w:r>
    </w:p>
    <w:p w14:paraId="556F4871">
      <w:pPr>
        <w:widowControl w:val="0"/>
        <w:adjustRightInd w:val="0"/>
        <w:spacing w:before="100" w:after="100" w:afterLines="0" w:afterAutospacing="0" w:line="300" w:lineRule="auto"/>
        <w:ind w:firstLine="482" w:firstLineChars="200"/>
        <w:jc w:val="both"/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数学性质推广</w:t>
      </w:r>
    </w:p>
    <w:p w14:paraId="28C51CC5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发现某个有趣的数学性质（如GCD的某种规律、博弈论的必胜态），试图将其转化为编程问题。</w:t>
      </w:r>
    </w:p>
    <w:p w14:paraId="3D533A0D">
      <w:pPr>
        <w:widowControl w:val="0"/>
        <w:adjustRightInd w:val="0"/>
        <w:spacing w:before="100" w:after="100" w:afterLines="0" w:afterAutospacing="0" w:line="300" w:lineRule="auto"/>
        <w:ind w:firstLine="482" w:firstLineChars="200"/>
        <w:jc w:val="both"/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bidi="ar-SA"/>
        </w:rPr>
        <w:t>生活/科研抽象</w:t>
      </w:r>
    </w:p>
    <w:p w14:paraId="5A0ECEB1">
      <w:pPr>
        <w:widowControl w:val="0"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从现实调度问题、生物基因序列比对等实际场景中提取简化模型。</w:t>
      </w:r>
    </w:p>
    <w:p w14:paraId="435618A2">
      <w:pPr>
        <w:pStyle w:val="3"/>
      </w:pPr>
    </w:p>
    <w:bookmarkEnd w:id="3"/>
    <w:p w14:paraId="2EFF61C3">
      <w:pPr>
        <w:pStyle w:val="2"/>
        <w:widowControl/>
      </w:pPr>
      <w:bookmarkStart w:id="4" w:name="数据范围与边界条件设计"/>
      <w:r>
        <w:t>数据范围与边界条件设计</w:t>
      </w:r>
    </w:p>
    <w:p w14:paraId="215CC14F">
      <w:pPr>
        <w:pStyle w:val="3"/>
      </w:pPr>
      <w:r>
        <w:t xml:space="preserve">确定 </w:t>
      </w:r>
      <w:r>
        <w:rPr>
          <w:b/>
        </w:rPr>
        <w:t>数据规模和边界条件</w:t>
      </w:r>
      <w:r>
        <w:t xml:space="preserve"> 时，要保证题目既有挑战性又可解。首先，出题人需明确地在题面中给出每个输入项的上下界（包括整数上下限、字符串字符集、小数精度等），这是常见的失误点。规范的做法是把数据范围写入输入格式或题目末尾，并保证标程能通过题面允许的任意输入。在范围选择上，通常尽量涵盖多种规模：设置较小规模以照顾简单解法，通过增加规模考察更优解法。例如可将原题的输入规模从 10^9 升级到 10^{18} 强制使用 </w:t>
      </w:r>
      <w:r>
        <w:rPr>
          <w:rStyle w:val="50"/>
        </w:rPr>
        <w:t>long long</w:t>
      </w:r>
      <w:r>
        <w:t>，或将时间限制从 2000ms 缩小到 500ms，以卡掉低效解法。</w:t>
      </w:r>
    </w:p>
    <w:p w14:paraId="03461DF9">
      <w:pPr>
        <w:pStyle w:val="3"/>
      </w:pPr>
      <w:r>
        <w:rPr>
          <w:b/>
        </w:rPr>
        <w:t>边界数据</w:t>
      </w:r>
      <w:r>
        <w:t xml:space="preserve"> 是设计难度的关键：按照黑盒测试原则，应划分等价类并为每类选取代表性的小规模输入，同时专门设计边界情况，如最小/最大值、全零、升序/降序等。例如，将数组大小设为极小、极大值测试越界处理或效率；根据题目特点构造特殊性质的测试，比如全连通图、退化情况等，以暴露潜在错误。IOWiki 也建议，为了区分正确与错误解法，可适当</w:t>
      </w:r>
      <w:r>
        <w:rPr>
          <w:b/>
        </w:rPr>
        <w:t>同时增大数据范围和时间限额</w:t>
      </w:r>
      <w:r>
        <w:t>，但需小心系统优化等因素可能缩小差距。在一些比赛（如部分分赛制）中，还可设计梯度规模和特殊属性的数据集，让较优错解因数据量稍有增加而无法通过。总体来说，数据设计要充分——覆盖所有预期情形，并确保标程正确高效。</w:t>
      </w:r>
    </w:p>
    <w:bookmarkEnd w:id="4"/>
    <w:p w14:paraId="5A741F0E">
      <w:pPr>
        <w:pStyle w:val="2"/>
        <w:widowControl/>
      </w:pPr>
      <w:bookmarkStart w:id="5" w:name="题目正确性验证理论与实践"/>
      <w:r>
        <w:t>题目正确性验证：理论与实践</w:t>
      </w:r>
    </w:p>
    <w:p w14:paraId="42E8A5ED">
      <w:pPr>
        <w:pStyle w:val="3"/>
      </w:pPr>
      <w:r>
        <w:t>题目方案完成后需</w:t>
      </w:r>
      <w:r>
        <w:rPr>
          <w:b/>
        </w:rPr>
        <w:t>反复验证</w:t>
      </w:r>
      <w:r>
        <w:t>。首先出题人自己应写出</w:t>
      </w:r>
      <w:r>
        <w:rPr>
          <w:b/>
        </w:rPr>
        <w:t>标准答案（标程）</w:t>
      </w:r>
      <w:r>
        <w:t>并进行理论推导，确保思路正确、复杂度符合预期。然后，交由评测团队成员（Moderator）</w:t>
      </w:r>
      <w:r>
        <w:rPr>
          <w:b/>
        </w:rPr>
        <w:t>盲测</w:t>
      </w:r>
      <w:r>
        <w:t>——他们会按要求实现题目并搜索潜在歧义或错误。在这个过程中，出题人需仔细检查题意没有二义性、例子与描述一致、IO格式合法等。针对可能的错误解法，出题人会设计“</w:t>
      </w:r>
      <w:r>
        <w:rPr>
          <w:b/>
        </w:rPr>
        <w:t>错误示例</w:t>
      </w:r>
      <w:r>
        <w:t>”：即那些会让错误（贪心、暴力、舍弃边界等）方案出错的测试点。OIWiki 强调，应避免让明显的错解通过；已知某些简单错解时，要尽量设计数据“卡掉”它们。实操中，出题人会在本地或 polygon 等平台上运行标程和各种复杂度的备选解法，确保所有解法在拟定的数据范围和时间内都能正确运行。最后，通常还需运行特殊检查程序（如专用格式检查器）验证输出格式无误。整个过程类似题目QA：一个题目经过多轮审核和修改后，才会进入最终测试阶段。</w:t>
      </w:r>
    </w:p>
    <w:bookmarkEnd w:id="5"/>
    <w:p w14:paraId="7306F150">
      <w:pPr>
        <w:pStyle w:val="2"/>
        <w:widowControl/>
      </w:pPr>
      <w:bookmarkStart w:id="6" w:name="标准答案与测试数据准备"/>
      <w:r>
        <w:t>标准答案与测试数据准备</w:t>
      </w:r>
    </w:p>
    <w:p w14:paraId="621CE3B6">
      <w:pPr>
        <w:pStyle w:val="3"/>
      </w:pPr>
      <w:r>
        <w:t>在验证无误后，出题人</w:t>
      </w:r>
      <w:r>
        <w:rPr>
          <w:b/>
        </w:rPr>
        <w:t>编写测试数据生成程序</w:t>
      </w:r>
      <w:r>
        <w:t>并分类管理测试用例。通常采用两种方式：</w:t>
      </w:r>
      <w:r>
        <w:rPr>
          <w:b/>
        </w:rPr>
        <w:t>随机生成</w:t>
      </w:r>
      <w:r>
        <w:t>与</w:t>
      </w:r>
      <w:r>
        <w:rPr>
          <w:b/>
        </w:rPr>
        <w:t>构造特殊例</w:t>
      </w:r>
      <w:r>
        <w:t>。随机生成器（可用 Testlib 等工具）便于生成大规模数据，保证覆盖均匀分布。OIWiki 及实践经验表明，可以利用生成器结合不同参数多次运行，获得多样化数据——包括随机实例、边界情况和“棘手”情况。Testlib 的优点是内置统一随机数生成，跨平台可复现相同输出。</w:t>
      </w:r>
    </w:p>
    <w:p w14:paraId="6562E2A5">
      <w:pPr>
        <w:pStyle w:val="3"/>
      </w:pPr>
      <w:r>
        <w:t>此外，需要</w:t>
      </w:r>
      <w:r>
        <w:rPr>
          <w:b/>
        </w:rPr>
        <w:t>手工构造</w:t>
      </w:r>
      <w:r>
        <w:t>一些典型测试：</w:t>
      </w:r>
      <w:r>
        <w:rPr>
          <w:highlight w:val="yellow"/>
        </w:rPr>
        <w:t>覆盖题目逻辑的关键场景，如最简单情况、特殊规律数据、极值、完全对称或完全不对称的输入等</w:t>
      </w:r>
      <w:r>
        <w:t>。在部分分赛制中，还会准备不同规模的数据段，以对不同算法复杂度进行得分。设计样例时要保证“有力量”：每种操作、输出类型都应在样例中体现。OIWiki 强调样例要能暴露简单错误，看题人若理解有偏差，应通过示例发现问题。</w:t>
      </w:r>
      <w:r>
        <w:rPr>
          <w:highlight w:val="yellow"/>
        </w:rPr>
        <w:t>在题面中，出题人会选择一两组输入输出作为样例放出：通常包含一个边界/特殊例和一个普通例</w:t>
      </w:r>
      <w:r>
        <w:t>，以帮助选手理解题意。</w:t>
      </w:r>
    </w:p>
    <w:p w14:paraId="1F2C8AFE">
      <w:pPr>
        <w:pStyle w:val="3"/>
      </w:pPr>
      <w:r>
        <w:t>最后，所有生成的输入（</w:t>
      </w:r>
      <w:r>
        <w:rPr>
          <w:i/>
        </w:rPr>
        <w:t>.in）和对应输出（</w:t>
      </w:r>
      <w:r>
        <w:t>.out）文件会被提交到评测系统。每组输出数据均由标准程序生成，并经过人工检查以保证合法有效。整个测试数据集需完善标识（如文件命名），并按顺序上传OJ。这样，一道题目从创意构思、编码验证，到数据生成、系统测试，才完整闭合，并最终服务于比赛。</w:t>
      </w:r>
      <w:bookmarkEnd w:id="1"/>
      <w:bookmarkEnd w:id="2"/>
      <w:bookmarkEnd w:id="6"/>
      <w:bookmarkStart w:id="7" w:name="citations"/>
    </w:p>
    <w:p w14:paraId="4911D54D">
      <w:pPr>
        <w:pStyle w:val="3"/>
      </w:pPr>
    </w:p>
    <w:p w14:paraId="0190BBF0">
      <w:pPr>
        <w:pStyle w:val="3"/>
      </w:pPr>
      <w:r>
        <w:rPr>
          <w:rFonts w:hint="eastAsia"/>
          <w:lang w:val="en-US" w:eastAsia="zh-CN"/>
        </w:rPr>
        <w:t>数学题出题过程：</w:t>
      </w:r>
      <w:bookmarkStart w:id="8" w:name="_GoBack"/>
      <w:bookmarkEnd w:id="8"/>
    </w:p>
    <w:p w14:paraId="41B66F26">
      <w:pPr>
        <w:pStyle w:val="3"/>
      </w:pPr>
      <w:r>
        <w:drawing>
          <wp:inline distT="0" distB="0" distL="114300" distR="114300">
            <wp:extent cx="5483225" cy="3712845"/>
            <wp:effectExtent l="0" t="0" r="3175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DB0F">
      <w:pPr>
        <w:pStyle w:val="3"/>
        <w:ind w:left="0" w:leftChars="0" w:firstLine="0" w:firstLineChars="0"/>
        <w:rPr>
          <w:rFonts w:hint="default" w:eastAsia="宋体"/>
          <w:lang w:val="en-US" w:eastAsia="zh-CN"/>
        </w:rPr>
      </w:pPr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77022E"/>
    <w:rsid w:val="0FE443F8"/>
    <w:rsid w:val="262A66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3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link w:val="34"/>
    <w:semiHidden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4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4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3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next w:val="3"/>
    <w:link w:val="28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link w:val="27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Strong"/>
    <w:basedOn w:val="19"/>
    <w:uiPriority w:val="0"/>
    <w:rPr>
      <w:b/>
    </w:rPr>
  </w:style>
  <w:style w:type="character" w:styleId="21">
    <w:name w:val="FollowedHyperlink"/>
    <w:basedOn w:val="19"/>
    <w:uiPriority w:val="0"/>
    <w:rPr>
      <w:color w:val="800080"/>
      <w:u w:val="single"/>
    </w:rPr>
  </w:style>
  <w:style w:type="character" w:styleId="22">
    <w:name w:val="Hyperlink"/>
    <w:basedOn w:val="23"/>
    <w:qFormat/>
    <w:uiPriority w:val="0"/>
    <w:rPr>
      <w:color w:val="4874CB" w:themeColor="accent1"/>
    </w:rPr>
  </w:style>
  <w:style w:type="character" w:customStyle="1" w:styleId="23">
    <w:name w:val="Body Text Char"/>
    <w:basedOn w:val="19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9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5">
    <w:name w:val="Heading 3 Char"/>
    <w:basedOn w:val="19"/>
    <w:link w:val="5"/>
    <w:semiHidden/>
    <w:qFormat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6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7">
    <w:name w:val="Heading 5 Char"/>
    <w:basedOn w:val="19"/>
    <w:link w:val="7"/>
    <w:semiHidden/>
    <w:qFormat/>
    <w:uiPriority w:val="9"/>
    <w:rPr>
      <w:rFonts w:eastAsiaTheme="majorEastAsia" w:cstheme="majorBidi"/>
      <w:color w:val="2D54A0" w:themeColor="accent1" w:themeShade="BF"/>
    </w:rPr>
  </w:style>
  <w:style w:type="character" w:customStyle="1" w:styleId="38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  <w:style w:type="paragraph" w:customStyle="1" w:styleId="85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86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1938</Words>
  <Characters>2715</Characters>
  <Lines>12</Lines>
  <Paragraphs>8</Paragraphs>
  <TotalTime>10</TotalTime>
  <ScaleCrop>false</ScaleCrop>
  <LinksUpToDate>false</LinksUpToDate>
  <CharactersWithSpaces>2799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2025-12-14T07:06:00Z</dcterms:created>
  <dc:creator>李晓添</dc:creator>
  <cp:lastModifiedBy>李晓添</cp:lastModifiedBy>
  <dcterms:modified xsi:type="dcterms:W3CDTF">2025-12-16T08:42:29Z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TemplateDocerSaveRecord">
    <vt:lpwstr>eyJoZGlkIjoiYWY1ZDUzNTMzY2QyNzZmMTllOWQxMmJjZmY4YzA4NWIiLCJ1c2VySWQiOiIxNjY3NDE4Njc1In0=</vt:lpwstr>
  </property>
  <property fmtid="{D5CDD505-2E9C-101B-9397-08002B2CF9AE}" pid="4" name="KSOProductBuildVer">
    <vt:lpwstr>2052-12.1.0.24034</vt:lpwstr>
  </property>
  <property fmtid="{D5CDD505-2E9C-101B-9397-08002B2CF9AE}" pid="5" name="ICV">
    <vt:lpwstr>E98FA93A122D436EBF7A9A52D8A37B57_12</vt:lpwstr>
  </property>
</Properties>
</file>