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TEST_ONLY policy source, not a legal instrument.</w:t>
      </w:r>
    </w:p>
  </w:body>
</w:document>
</file>