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P1 技术负责人和公共基础任务书</w:t>
      </w:r>
    </w:p>
    <w:p>
      <w:r>
        <w:t>教学闭环任务 TL1 P1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TL1-P1；任务版本1.0；负责人 P1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负责把8人的工作集成为一套可运行的教学闭环。控制共享契约、迁移、资源和版本，不另写第二个业务后端。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现有main.py/create_app、sqlite.py、错误信封、model_runtime、数据根锁及rag备份恢复可复用；既有教案、题库与RAG保持。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核实基线、统一规范与接口版本；建立TS/Pydantic/fixture对照。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新增knowledge/teaching配置、迁移与应用服务装配；设计公共文件、任务、幂等接口。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协调整体备份恢复、能力状态和导航；固定候选、合并、维护权威文档。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app/main.py、core/config.py、公共workflow/assets/submissions服务及仓储、迁移注册表；仅公共基础。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src/contracts新增共享类型、api-client向后兼容details/blob支持、navigation.ts、薄路由注册和必要公共组件。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根脚本、依赖锁、API/ROUTES/PROJECT_GUIDE/CURRENT_STATUS、AGENTS存储说明、scripts/rag/backup.py必要扩展。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不接管领域服务实现；不重写chat/rag_v2或清理正式数据。公共类型来源需与领域负责人核对。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岗位估算：约28至32人日协调/契约/集成，8至12人日公共代码与缓冲。。开始前读根和所属模块AGENTS；文档中的新目录是待新增设计，不表示main已存在。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登记mainSHA、工作区改动、现有回归基线与资源表；把新库范围写清，准备独立集成目录。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按本计划冻结公共DTO、内容块、错误、ID、分数和版本；修正docs里题库旧状态，保留历史而非一概删除。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版本化迁移与领域连接工厂；共同事务仅由同库服务协调，跨库引用不可变修订加快照。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公共WorkflowRuntime/AssetStore/幂等服务；取消迟到保护、重启interrupted、下载散列核验；建议不引入Redis。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扩展备份清单和安全恢复；组织G1至G4审查，终态能力按实际验收登记。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公共规范、契约、迁移骨架、资源表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W2至W4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装配与每日集成，G2候选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导出公共设施、备份恢复、G3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跨模块冲突收敛、G4交付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公共jobs/artifacts/error DTO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提供P2/P3/P4及P5/P6/P7；领域任务kind由模块注册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契约冻结与OpenAPI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P2/P3/P4提案，P5/P6/P7确认，P8做schema对照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旧api-client兼容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保留已有调用；支持details、下载与AbortSignal，不能统一改成功信封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迁移在全新和已有题库副本均成功，重复执行幂等；缺表/坏库显式失败。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新增配置无密钥、仅回环监听；未注册路由501，缺服务503。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任务取消后迟到输出不写成功；重启running→interrupted；同键不同载荷409。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已有题库/教案/chat/RAG接口无破坏；契约样例两端一致。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四库+文件+Qdrant隔离备份恢复后版本、散列、引用一致。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G2/G3/G4固定SHA与P8报告对应，权威文档没有超出实际状态的ready。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npm.cmd run check/test:api/test:e2e/test:chat，实际调用分开执行并记录。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迁移、任务恢复、错误details/blob、备份恢复的相关用例；format:check只检查变更范围。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接口冻结说明、OpenAPI/fixtures、资源归属表、迁移与回退说明。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集成候选SHA、阶段验收记录、CURRENT_STATUS/API/ROUTES更新和启动说明。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重点风险：不要把现有core/data_lock运行锁改成跨库分布式锁；新增库需显式纳入一致性保护。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技术负责人和公共基础任务书</dc:title>
  <dc:subject>教学闭环任务 TL1 P1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