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P3 班级原卷和成绩后端任务书</w:t>
      </w:r>
    </w:p>
    <w:p>
      <w:r>
        <w:t>教学闭环任务 TL1 P3   版本 1.0   姓名待填</w:t>
      </w:r>
    </w:p>
    <w:p>
      <w:pPr>
        <w:pStyle w:val="Heading1"/>
      </w:pPr>
      <w:r>
        <w:t>01 任务范围和代码归属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任务ID TL1-P3；任务版本1.0；负责人 P3 姓名待填；代码基线 main@301fc35；计划8周，阶段出口见总计划。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建立学情分析的权威事实输入：稳定学生身份、经校对原卷小题、一次施测及全量成绩修订。</w:t>
      </w:r>
    </w:p>
    <w:p>
      <w:pPr>
        <w:pStyle w:val="Heading2"/>
      </w:pPr>
      <w:r>
        <w:t>必须复用的现有基础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现有document_parsing/parser.py可复用文本解析/来源逻辑，但不能直接当公式配图保真的试卷解析器；core/sqlite与文件管理沿用公共入口。</w:t>
      </w:r>
    </w:p>
    <w:p>
      <w:pPr>
        <w:pStyle w:val="Heading2"/>
      </w:pPr>
      <w:r>
        <w:t>本任务交付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教学数据14表：classes/students/memberships、papers及修订/小题/知识点、assessment及参加名单、score_imports/rows/revisions/scores。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原卷DOCX内容、共享材料、题号/满分/知识点确认；名单和宽表成绩映射。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成绩Decimal精确校验、0与缺失状态、幂等确认、修正新版本；给P4查询快照。</w:t>
      </w:r>
    </w:p>
    <w:p>
      <w:pPr>
        <w:pStyle w:val="Heading2"/>
      </w:pPr>
      <w:r>
        <w:t>独占可写目录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services/classroom、services/assessment、services/paper_ingest新增领域文件。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repositories/teaching/{roster,papers,scores}.py；schemas/{classroom,assessment}.py；api/v1/{classroom,assessments}.py；对应测试。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原卷专用parser/内容块提案；共享document_parsing基础如确需修改先交P1协调教材回归。</w:t>
      </w:r>
    </w:p>
    <w:p>
      <w:pPr>
        <w:pStyle w:val="Heading2"/>
      </w:pPr>
      <w:r>
        <w:t>共享和禁止越界范围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不写学情结论、不新建题库、不拆评分点、不做OCR和自动改卷；共享迁移和任务设施由P1写。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岗位估算：约8日保真、8日名单施测、10日成绩/修订、8日联调验收、6日缓冲。。开始前读根和所属模块AGENTS；文档中的新目录是待新增设计，不表示main已存在。</w:t>
      </w:r>
    </w:p>
    <w:p>
      <w:r>
        <w:br w:type="page"/>
      </w:r>
    </w:p>
    <w:p>
      <w:pPr>
        <w:pStyle w:val="Heading1"/>
      </w:pPr>
      <w:r>
        <w:t>02 实现步骤和API交接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1. 选3份脱敏DOCX做保真尖峰，保存段落/表格/OMML/图片关系与受管asset；不能无告警丢内容。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2. 名单XLSX/CSV选表头/字段，学号字符串；同名不自动合并，转班保留历史日期和旧施测快照。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3. 原卷拆题→容器/计分叶子→题号满分→已确认知识点；确认校验全部叶子与总分，一旦施测不换旧卷。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4. 宽表成绩预览学生/题号映射；最多2位小数、公式缓存、missing/absent/exempt、总分核对。全量矩阵每参加者每叶子均有状态行。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5. 确认单事务/幂等；改分从baseScoreRevision新建全量快照。接P2练习计分结构生成原卷与施测，供P4固定快照查询。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8136"/>
      </w:tblGrid>
      <w:tr>
        <w:trPr>
          <w:cantSplit/>
          <w:tblHeader/>
        </w:trPr>
        <w:tc>
          <w:tcPr>
            <w:tcW w:type="dxa" w:w="165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阶段</w:t>
            </w:r>
          </w:p>
        </w:tc>
        <w:tc>
          <w:tcPr>
            <w:tcW w:type="dxa" w:w="813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个人交付</w:t>
            </w:r>
          </w:p>
        </w:tc>
      </w:tr>
      <w:tr>
        <w:trPr>
          <w:cantSplit/>
        </w:trPr>
        <w:tc>
          <w:tcPr>
            <w:tcW w:type="dxa" w:w="165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W1</w:t>
            </w:r>
          </w:p>
        </w:tc>
        <w:tc>
          <w:tcPr>
            <w:tcW w:type="dxa" w:w="813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试点样本、保真尖峰、DTO</w:t>
            </w:r>
          </w:p>
        </w:tc>
      </w:tr>
      <w:tr>
        <w:trPr>
          <w:cantSplit/>
        </w:trPr>
        <w:tc>
          <w:tcPr>
            <w:tcW w:type="dxa" w:w="165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W2至W3</w:t>
            </w:r>
          </w:p>
        </w:tc>
        <w:tc>
          <w:tcPr>
            <w:tcW w:type="dxa" w:w="813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名单/原卷/施测/成绩真实API</w:t>
            </w:r>
          </w:p>
        </w:tc>
      </w:tr>
      <w:tr>
        <w:trPr>
          <w:cantSplit/>
        </w:trPr>
        <w:tc>
          <w:tcPr>
            <w:tcW w:type="dxa" w:w="165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W4</w:t>
            </w:r>
          </w:p>
        </w:tc>
        <w:tc>
          <w:tcPr>
            <w:tcW w:type="dxa" w:w="813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G2数据异常与修正场景</w:t>
            </w:r>
          </w:p>
        </w:tc>
      </w:tr>
      <w:tr>
        <w:trPr>
          <w:cantSplit/>
        </w:trPr>
        <w:tc>
          <w:tcPr>
            <w:tcW w:type="dxa" w:w="165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W5至W6</w:t>
            </w:r>
          </w:p>
        </w:tc>
        <w:tc>
          <w:tcPr>
            <w:tcW w:type="dxa" w:w="813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练习回流接P2；W7至W8修缺陷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104"/>
        <w:gridCol w:w="5688"/>
      </w:tblGrid>
      <w:tr>
        <w:trPr>
          <w:cantSplit/>
          <w:tblHeader/>
        </w:trPr>
        <w:tc>
          <w:tcPr>
            <w:tcW w:type="dxa" w:w="410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提供或消费接口</w:t>
            </w:r>
          </w:p>
        </w:tc>
        <w:tc>
          <w:tcPr>
            <w:tcW w:type="dxa" w:w="568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上下游与要求</w:t>
            </w:r>
          </w:p>
        </w:tc>
      </w:tr>
      <w:tr>
        <w:trPr>
          <w:cantSplit/>
        </w:trPr>
        <w:tc>
          <w:tcPr>
            <w:tcW w:type="dxa" w:w="410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classes / roster-imports</w:t>
            </w:r>
          </w:p>
        </w:tc>
        <w:tc>
          <w:tcPr>
            <w:tcW w:type="dxa" w:w="568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对P6；消费P1AssetStore和临时任务</w:t>
            </w:r>
          </w:p>
        </w:tc>
      </w:tr>
      <w:tr>
        <w:trPr>
          <w:cantSplit/>
        </w:trPr>
        <w:tc>
          <w:tcPr>
            <w:tcW w:type="dxa" w:w="410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papers / assessments / score-imports</w:t>
            </w:r>
          </w:p>
        </w:tc>
        <w:tc>
          <w:tcPr>
            <w:tcW w:type="dxa" w:w="568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对P6；知识点核验来自P2</w:t>
            </w:r>
          </w:p>
        </w:tc>
      </w:tr>
      <w:tr>
        <w:trPr>
          <w:cantSplit/>
        </w:trPr>
        <w:tc>
          <w:tcPr>
            <w:tcW w:type="dxa" w:w="410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AssessmentQuery/createFromPractice</w:t>
            </w:r>
          </w:p>
        </w:tc>
        <w:tc>
          <w:tcPr>
            <w:tcW w:type="dxa" w:w="568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给P4报告/P2练习；固定paper/score/participant快照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统一字段、错误、revision、submissionId、任务状态见总计划第06至11节。新API是拟定契约，W1与P1冻结；共享类型与路由注册由P1合并。生产接口不能以fixture或示例返回成功。</w:t>
      </w:r>
    </w:p>
    <w:p>
      <w:r>
        <w:br w:type="page"/>
      </w:r>
    </w:p>
    <w:p>
      <w:pPr>
        <w:pStyle w:val="Heading1"/>
      </w:pPr>
      <w:r>
        <w:t>03 验收场景和交接清单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"/>
        <w:gridCol w:w="8712"/>
      </w:tblGrid>
      <w:tr>
        <w:trPr>
          <w:cantSplit/>
          <w:tblHeader/>
        </w:trPr>
        <w:tc>
          <w:tcPr>
            <w:tcW w:type="dxa" w:w="10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编号</w:t>
            </w:r>
          </w:p>
        </w:tc>
        <w:tc>
          <w:tcPr>
            <w:tcW w:type="dxa" w:w="87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可复现验收条件</w:t>
            </w:r>
          </w:p>
        </w:tc>
      </w:tr>
      <w:tr>
        <w:trPr>
          <w:cantSplit/>
        </w:trPr>
        <w:tc>
          <w:tcPr>
            <w:tcW w:type="dxa" w:w="10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P3-A01</w:t>
            </w:r>
          </w:p>
        </w:tc>
        <w:tc>
          <w:tcPr>
            <w:tcW w:type="dxa" w:w="87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3份真实脱敏原卷题干、公式、图片、共享材料与教师标定逐项一致；遗漏可见且阻断确认。</w:t>
            </w:r>
          </w:p>
        </w:tc>
      </w:tr>
      <w:tr>
        <w:trPr>
          <w:cantSplit/>
        </w:trPr>
        <w:tc>
          <w:tcPr>
            <w:tcW w:type="dxa" w:w="10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P3-A02</w:t>
            </w:r>
          </w:p>
        </w:tc>
        <w:tc>
          <w:tcPr>
            <w:tcW w:type="dxa" w:w="87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多班同名和0012学号无错误合并；重复导入不重复建人。</w:t>
            </w:r>
          </w:p>
        </w:tc>
      </w:tr>
      <w:tr>
        <w:trPr>
          <w:cantSplit/>
        </w:trPr>
        <w:tc>
          <w:tcPr>
            <w:tcW w:type="dxa" w:w="10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P3-A03</w:t>
            </w:r>
          </w:p>
        </w:tc>
        <w:tc>
          <w:tcPr>
            <w:tcW w:type="dxa" w:w="87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总题干不可计分；16(1)/16(2)与宽表映射可人工改；不重复算16总分。</w:t>
            </w:r>
          </w:p>
        </w:tc>
      </w:tr>
      <w:tr>
        <w:trPr>
          <w:cantSplit/>
        </w:trPr>
        <w:tc>
          <w:tcPr>
            <w:tcW w:type="dxa" w:w="10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P3-A04</w:t>
            </w:r>
          </w:p>
        </w:tc>
        <w:tc>
          <w:tcPr>
            <w:tcW w:type="dxa" w:w="87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负分/超满分/布尔/文本/公式无缓存拒绝；0有效，空白不补0。</w:t>
            </w:r>
          </w:p>
        </w:tc>
      </w:tr>
      <w:tr>
        <w:trPr>
          <w:cantSplit/>
        </w:trPr>
        <w:tc>
          <w:tcPr>
            <w:tcW w:type="dxa" w:w="10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P3-A05</w:t>
            </w:r>
          </w:p>
        </w:tc>
        <w:tc>
          <w:tcPr>
            <w:tcW w:type="dxa" w:w="87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缺知识点/满分不符/重复题号不能确认卷；未确认卷不能施测。</w:t>
            </w:r>
          </w:p>
        </w:tc>
      </w:tr>
      <w:tr>
        <w:trPr>
          <w:cantSplit/>
        </w:trPr>
        <w:tc>
          <w:tcPr>
            <w:tcW w:type="dxa" w:w="10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P3-A06</w:t>
            </w:r>
          </w:p>
        </w:tc>
        <w:tc>
          <w:tcPr>
            <w:tcW w:type="dxa" w:w="87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任一阻断错误确认无正式写入；同键重试一次落库，冲突409。</w:t>
            </w:r>
          </w:p>
        </w:tc>
      </w:tr>
      <w:tr>
        <w:trPr>
          <w:cantSplit/>
        </w:trPr>
        <w:tc>
          <w:tcPr>
            <w:tcW w:type="dxa" w:w="10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P3-A07</w:t>
            </w:r>
          </w:p>
        </w:tc>
        <w:tc>
          <w:tcPr>
            <w:tcW w:type="dxa" w:w="87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改分产生新版本，旧报告可复算原分；练习回流固定题号可导回。</w:t>
            </w:r>
          </w:p>
        </w:tc>
      </w:tr>
    </w:tbl>
    <w:p>
      <w:pPr>
        <w:spacing w:after="0"/>
      </w:pPr>
    </w:p>
    <w:p>
      <w:pPr>
        <w:pStyle w:val="Heading2"/>
      </w:pPr>
      <w:r>
        <w:t>本任务检查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npm.cmd run test:api；原卷、名单、映射、分值、并发、修订的pytest。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原文保真人工清单；P8错误夹具与200×100性能验证。</w:t>
      </w:r>
    </w:p>
    <w:p>
      <w:pPr>
        <w:pStyle w:val="Heading2"/>
      </w:pPr>
      <w:r>
        <w:t>交付文件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领域API/仓储、XLSX依赖提案和锁变更申请、迁移SQL提案、夹具约定。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真实脱敏卷解析对照、导入/修正样例、AssessmentQuery和回流说明。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重点风险：现有pyproject没有openpyxl；增加解析包需P1统一uv锁，不执行Excel公式或访问原文件外链。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完成状态只能先报ready_for_review；验收结果由P8复现、P1集成。结果卡写任务/版本/候选SHA、变化、接口、迁移、命令和退出码、证据、首次失败、not_run及剩余风险。</w:t>
      </w:r>
    </w:p>
    <w:p>
      <w:r>
        <w:br w:type="page"/>
      </w:r>
    </w:p>
    <w:p>
      <w:pPr>
        <w:pStyle w:val="Heading1"/>
      </w:pPr>
      <w:r>
        <w:t>04 必须遵守的统一规范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先读根、前端/后端及所属模块 AGENTS.md；现状以 CURRENT_STATUS 与代码核对。仅在分配目录开发，公共文件通过 P1 集成。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前端路由薄、features 承载业务、services 负责请求；共享类型只用 contracts。客户端生命周期内使用浏览器能力，实例状态通过注入，禁止生产伪成功。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唯一业务后端为 FastAPI；路由→服务→仓储分层。API 外部字段 camelCase，Python 内部 snake_case，显式 DTO 映射；禁止 raw DB 行直接出接口。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前端只经 api-client 与 /api/v1 同源代理访问；错误不降为空库。全站样式复用字体/颜色 token，模块类有作用域，保持现有 /chat 视觉基准。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SQL 参数化且经 core/sqlite.py；事务内不解析文件、不调用模型/网络。跨库引用通过只读查询接口核验，不冒充真实外键。正式修订不可变。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分数使用百分之一分整数 scoreUnits/maxScoreUnits，0 是有效得分，空白/缺考/免考为显式状态；不做自动改卷、评分点、知识点失分分摊或概率预测。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模型统一 resolve_chat_model；点击时冻结模型和依据，AI 只返回待审核建议，失败保留草稿。API 密钥只存后端，学生标识不发到生成模型。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自己的独立工作目录和 codex/Px-* 分支；共享目录不切分支、不批量暂存。依赖变更申请 P1，不升级无关框架。已知旧失败和新回归分开记录。</w:t>
      </w:r>
    </w:p>
    <w:p>
      <w:pPr>
        <w:pStyle w:val="Heading2"/>
      </w:pPr>
      <w:r>
        <w:t>个人工作纪律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共享文件提案交P1，不在其他人的目录修复；越界需求先记录具体文件与理由。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隔离数据目录/浏览器；前端验收5174、API测试8001、Qdrant测试16333。个人并行端口由P1资源表分配，不能结束未知进程。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新增模块单测自己写；跨模块e2e夹具由P8维护。使用同一任务ID追踪阻塞和缺陷。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每个阶段提供能演示的真实行为闭环、失败恢复和接口证据；不能以存在页面或构建成功替代验收。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共同阅读：00_智启课源八人协作总计划.docx。规范冲突以用户明确需求和AGENTS为先，并由P1同步契约；不得自行删掉已有功能或假称真实AI。</w:t>
      </w:r>
    </w:p>
    <w:sectPr w:rsidR="00FC693F" w:rsidRPr="0006063C" w:rsidSect="00034616">
      <w:footerReference w:type="default" r:id="rId9"/>
      <w:pgSz w:w="11905" w:h="16838"/>
      <w:pgMar w:top="893" w:right="1037" w:bottom="922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宋体"/>
        <w:b w:val="0"/>
        <w:color w:val="17212F"/>
        <w:sz w:val="16"/>
      </w:rPr>
      <w:t xml:space="preserve">智启课源   2026 09 30   </w:t>
    </w:r>
    <w:fldSimple w:instr="PAGE"/>
    <w:r>
      <w:rPr>
        <w:rFonts w:ascii="Calibri" w:hAnsi="Calibri" w:eastAsia="宋体"/>
        <w:b w:val="0"/>
        <w:color w:val="17212F"/>
        <w:sz w:val="16"/>
      </w:rPr>
      <w:t xml:space="preserve"> /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 w:eastAsia="宋体"/>
      <w:color w:val="1721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 w:eastAsia="宋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Calibri" w:hAnsi="Calibri" w:eastAsia="宋体"/>
      <w:b/>
      <w:bCs/>
      <w:color w:val="17212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 w:eastAsia="宋体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/>
      <w:contextualSpacing/>
    </w:pPr>
    <w:rPr>
      <w:rFonts w:ascii="Calibri" w:hAnsi="Calibri" w:eastAsia="宋体"/>
      <w:color w:val="17212F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P3 班级原卷和成绩后端任务书</dc:title>
  <dc:subject>教学闭环任务 TL1 P3   版本 1.0   姓名待填</dc:subject>
  <dc:creator>智启课源</dc:creator>
  <cp:keywords>教学闭环 分工 接口 验收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