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CFB32">
      <w:pPr>
        <w:wordWrap w:val="0"/>
        <w:autoSpaceDE w:val="0"/>
        <w:autoSpaceDN w:val="0"/>
        <w:spacing w:before="0" w:after="0" w:line="383" w:lineRule="exact"/>
        <w:jc w:val="center"/>
        <w:rPr>
          <w:sz w:val="37"/>
        </w:rPr>
      </w:pPr>
      <w:r>
        <w:rPr>
          <w:rFonts w:hint="eastAsia" w:ascii="宋体" w:hAnsi="宋体" w:eastAsia="宋体"/>
          <w:b/>
          <w:color w:val="000000"/>
          <w:sz w:val="37"/>
        </w:rPr>
        <w:t>教师备课教案</w:t>
      </w:r>
    </w:p>
    <w:p w14:paraId="30EE0309">
      <w:pPr>
        <w:wordWrap w:val="0"/>
        <w:autoSpaceDE w:val="0"/>
        <w:autoSpaceDN w:val="0"/>
        <w:spacing w:before="0" w:after="0" w:line="311" w:lineRule="exact"/>
        <w:ind w:firstLine="0"/>
        <w:jc w:val="both"/>
        <w:rPr>
          <w:rFonts w:hint="eastAsia" w:ascii="宋体" w:hAnsi="宋体" w:eastAsia="宋体"/>
          <w:color w:val="000000"/>
          <w:sz w:val="24"/>
        </w:rPr>
      </w:pPr>
    </w:p>
    <w:tbl>
      <w:tblPr>
        <w:tblStyle w:val="2"/>
        <w:tblW w:w="0" w:type="auto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3780"/>
        <w:gridCol w:w="920"/>
        <w:gridCol w:w="940"/>
        <w:gridCol w:w="1200"/>
        <w:gridCol w:w="60"/>
        <w:gridCol w:w="1280"/>
      </w:tblGrid>
      <w:tr w14:paraId="2ABFA27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FA2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课题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450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both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荷塘月色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1D3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本课题</w:t>
            </w:r>
          </w:p>
          <w:p w14:paraId="0360C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总课时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5147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both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2</w:t>
            </w:r>
          </w:p>
        </w:tc>
        <w:tc>
          <w:tcPr>
            <w:tcW w:w="12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C96C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本节课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3925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pacing w:val="0"/>
                <w:sz w:val="21"/>
                <w:szCs w:val="21"/>
              </w:rPr>
              <w:t xml:space="preserve">第1课时</w:t>
            </w:r>
          </w:p>
        </w:tc>
      </w:tr>
      <w:tr w14:paraId="30E4486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3298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课型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12755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pacing w:val="0"/>
                <w:sz w:val="21"/>
                <w:szCs w:val="21"/>
              </w:rPr>
              <w:t xml:space="preserve">☑新课  □复习课  □试题讲评课  □实验课  □其它</w:t>
            </w:r>
          </w:p>
        </w:tc>
      </w:tr>
      <w:tr w14:paraId="41B8F51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D56D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核心素养目标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6B18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1. 语言建构与运用：品味叠词、通感等语言表达，感受散文的音韵美。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2. 思维发展与提升：梳理作者的游踪与情感变化，理解景与情的关系。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3. 审美鉴赏与创造：体会月下荷塘的朦胧美，尝试用细腻的语言描绘生活中的景物。</w:t>
            </w:r>
          </w:p>
        </w:tc>
      </w:tr>
      <w:tr w14:paraId="7BC07F4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A8D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教学重、难点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FFB4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教学重点：赏析第4—6段写景语言，体会比喻、通感的表达效果。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教学难点：理解作者“淡淡的喜悦”与“淡淡的哀愁”交织的情感。</w:t>
            </w:r>
          </w:p>
        </w:tc>
      </w:tr>
      <w:tr w14:paraId="255D624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8204A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教学设计</w:t>
            </w:r>
          </w:p>
          <w:p w14:paraId="5162A91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（板书、思路、</w:t>
            </w:r>
          </w:p>
          <w:p w14:paraId="3C1E713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教学方法等）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11D8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以“循着月光，走进荷塘”为主线，采用诵读品味、情境教学与合作探究。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板书设计：心中不宁 → 踱步荷塘 → 荷香月色 → 回归现实。</w:t>
            </w:r>
          </w:p>
        </w:tc>
      </w:tr>
      <w:tr w14:paraId="78DD631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jc w:val="center"/>
        </w:trPr>
        <w:tc>
          <w:tcPr>
            <w:tcW w:w="16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D60A8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</w:t>
            </w:r>
          </w:p>
          <w:p w14:paraId="6044BC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</w:p>
          <w:p w14:paraId="46C2559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学</w:t>
            </w:r>
          </w:p>
          <w:p w14:paraId="266FC26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</w:p>
          <w:p w14:paraId="3A36C30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过</w:t>
            </w:r>
          </w:p>
          <w:p w14:paraId="21FF1BF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</w:p>
          <w:p w14:paraId="3F596C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程</w:t>
            </w:r>
          </w:p>
        </w:tc>
        <w:tc>
          <w:tcPr>
            <w:tcW w:w="684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21154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教学设计</w:t>
            </w:r>
          </w:p>
        </w:tc>
        <w:tc>
          <w:tcPr>
            <w:tcW w:w="13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A5293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二次备课</w:t>
            </w:r>
          </w:p>
        </w:tc>
      </w:tr>
      <w:tr w14:paraId="75064C0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0" w:hRule="atLeast"/>
          <w:jc w:val="center"/>
        </w:trPr>
        <w:tc>
          <w:tcPr>
            <w:tcW w:w="16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0284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</w:p>
        </w:tc>
        <w:tc>
          <w:tcPr>
            <w:tcW w:w="684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F32AF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情境导入 · 5分钟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展示月下荷塘的画面，请学生用一个词描述感受。引出朱自清与《荷塘月色》，提出问题：作者为什么在这样的夜晚走出家门？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/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初读感知 · 10分钟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学生自由朗读课文，圈画表示游踪的词句。小组梳理行文线索，概括作者出门前、漫步时、回家后的心情变化。</w:t>
            </w:r>
          </w:p>
        </w:tc>
        <w:tc>
          <w:tcPr>
            <w:tcW w:w="13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DD8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情境导入 · 5分钟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关注学生的初读感受。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/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初读感知 · 10分钟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用游踪图辅助梳理。</w:t>
            </w:r>
          </w:p>
        </w:tc>
      </w:tr>
    </w:tbl>
    <w:p w14:paraId="4485371D">
      <w:pPr>
        <w:spacing w:line="1" w:lineRule="exact"/>
        <w:sectPr>
          <w:type w:val="continuous"/>
          <w:pgSz w:w="11900" w:h="17160"/>
          <w:pgMar w:top="840" w:right="940" w:bottom="840" w:left="940" w:header="420" w:footer="420" w:gutter="0"/>
          <w:cols w:space="720" w:num="1"/>
        </w:sectPr>
      </w:pPr>
    </w:p>
    <w:p w14:paraId="761CB7F6">
      <w:pPr>
        <w:wordWrap w:val="0"/>
        <w:autoSpaceDE w:val="0"/>
        <w:autoSpaceDN w:val="0"/>
        <w:spacing w:before="0" w:after="0" w:line="220" w:lineRule="exact"/>
        <w:ind w:firstLine="0"/>
        <w:jc w:val="both"/>
        <w:rPr>
          <w:rFonts w:hint="eastAsia" w:ascii="宋体" w:hAnsi="宋体" w:eastAsia="宋体"/>
          <w:color w:val="000000"/>
          <w:sz w:val="16"/>
        </w:rPr>
      </w:pPr>
    </w:p>
    <w:tbl>
      <w:tblPr>
        <w:tblStyle w:val="2"/>
        <w:tblW w:w="0" w:type="auto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6960"/>
        <w:gridCol w:w="1360"/>
      </w:tblGrid>
      <w:tr w14:paraId="2B91299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  <w:jc w:val="center"/>
        </w:trPr>
        <w:tc>
          <w:tcPr>
            <w:tcW w:w="16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94221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教</w:t>
            </w:r>
          </w:p>
          <w:p w14:paraId="146467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</w:p>
          <w:p w14:paraId="030CE2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学</w:t>
            </w:r>
          </w:p>
          <w:p w14:paraId="31B14CD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</w:p>
          <w:p w14:paraId="72A3374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过</w:t>
            </w:r>
          </w:p>
          <w:p w14:paraId="58F161B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</w:p>
          <w:p w14:paraId="7E16DCC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程</w:t>
            </w:r>
          </w:p>
        </w:tc>
        <w:tc>
          <w:tcPr>
            <w:tcW w:w="6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CDEA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教学设计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CF7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  <w:lang w:val="en-US" w:eastAsia="zh-CN"/>
              </w:rPr>
              <w:t>二次备课</w:t>
            </w:r>
          </w:p>
        </w:tc>
      </w:tr>
      <w:tr w14:paraId="45DE92C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0" w:hRule="atLeast"/>
          <w:jc w:val="center"/>
        </w:trPr>
        <w:tc>
          <w:tcPr>
            <w:tcW w:w="1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39262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6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02A3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品读赏析 · 20分钟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聚焦第4—6段。选择最喜欢的一句写景语句，从用词、修辞与感官三个角度分享理由。比较“清香”与“远处高楼上渺茫的歌声”，体会通感带来的阅读感受。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/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迁移小结 · 10分钟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回到开篇“这几天心里颇不宁静”，交流景物与情感的联系。用80字描写校园中的一处景物，尝试运用一种本课所学的表达手法。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CD7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品读赏析 · 20分钟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引导学生联系语境分析。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/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迁移小结 · 10分钟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允许不同理解，以文本为依据。</w:t>
            </w:r>
          </w:p>
        </w:tc>
      </w:tr>
      <w:tr w14:paraId="2649E5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0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77EE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课堂练习</w:t>
            </w:r>
          </w:p>
          <w:p w14:paraId="7D0D071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及</w:t>
            </w:r>
          </w:p>
          <w:p w14:paraId="49FBEF7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作业布置</w:t>
            </w:r>
          </w:p>
        </w:tc>
        <w:tc>
          <w:tcPr>
            <w:tcW w:w="8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D691F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课堂练习：选择一处通感句，说明它沟通了哪些感官，有什么表达效果。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课后作业：完成一段150字的写景片段，至少运用一种本课学到的手法。</w:t>
            </w:r>
          </w:p>
        </w:tc>
      </w:tr>
      <w:tr w14:paraId="7D64276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0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0A0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教学反思</w:t>
            </w:r>
          </w:p>
        </w:tc>
        <w:tc>
          <w:tcPr>
            <w:tcW w:w="8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E1F0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/>
            </w:r>
          </w:p>
        </w:tc>
      </w:tr>
    </w:tbl>
    <w:p w14:paraId="43BFA755">
      <w:pPr>
        <w:tabs>
          <w:tab w:val="left" w:pos="4800"/>
        </w:tabs>
        <w:wordWrap w:val="0"/>
        <w:autoSpaceDE w:val="0"/>
        <w:autoSpaceDN w:val="0"/>
        <w:spacing w:before="0" w:after="0" w:line="520" w:lineRule="exact"/>
        <w:ind w:firstLine="320"/>
        <w:jc w:val="left"/>
        <w:rPr>
          <w:sz w:val="23"/>
        </w:rPr>
      </w:pPr>
      <w:r>
        <w:rPr>
          <w:rFonts w:hint="eastAsia" w:ascii="宋体" w:hAnsi="宋体" w:eastAsia="宋体"/>
          <w:color w:val="000000"/>
          <w:sz w:val="23"/>
        </w:rPr>
        <w:t>教研组核查等次：（优／良／中／差）</w:t>
      </w:r>
      <w:r>
        <w:rPr>
          <w:rFonts w:hint="eastAsia" w:ascii="宋体" w:hAnsi="宋体" w:eastAsia="宋体"/>
          <w:color w:val="000000"/>
          <w:sz w:val="23"/>
        </w:rPr>
        <w:tab/>
      </w:r>
      <w:r>
        <w:rPr>
          <w:rFonts w:hint="eastAsia" w:ascii="宋体" w:hAnsi="宋体" w:eastAsia="宋体"/>
          <w:color w:val="000000"/>
          <w:sz w:val="23"/>
        </w:rPr>
        <w:t>教务处核查：（盖章）</w:t>
      </w:r>
    </w:p>
    <w:p w14:paraId="34D58240">
      <w:pPr>
        <w:tabs>
          <w:tab w:val="left" w:pos="9080"/>
          <w:tab w:val="left" w:pos="9780"/>
        </w:tabs>
        <w:wordWrap w:val="0"/>
        <w:autoSpaceDE w:val="0"/>
        <w:autoSpaceDN w:val="0"/>
        <w:spacing w:before="0" w:after="0" w:line="480" w:lineRule="exact"/>
        <w:ind w:firstLine="8460"/>
        <w:jc w:val="left"/>
        <w:rPr>
          <w:rFonts w:hint="eastAsia" w:ascii="宋体" w:hAnsi="宋体" w:eastAsia="宋体"/>
          <w:color w:val="000000"/>
          <w:sz w:val="23"/>
        </w:rPr>
      </w:pPr>
      <w:r>
        <w:rPr>
          <w:rFonts w:hint="eastAsia" w:ascii="宋体" w:hAnsi="宋体" w:eastAsia="宋体"/>
          <w:color w:val="000000"/>
          <w:sz w:val="23"/>
        </w:rPr>
        <w:t>年</w:t>
      </w:r>
      <w:r>
        <w:rPr>
          <w:rFonts w:hint="eastAsia" w:ascii="宋体" w:hAnsi="宋体" w:eastAsia="宋体"/>
          <w:color w:val="000000"/>
          <w:sz w:val="23"/>
        </w:rPr>
        <w:tab/>
      </w:r>
      <w:r>
        <w:rPr>
          <w:rFonts w:hint="eastAsia" w:ascii="宋体" w:hAnsi="宋体" w:eastAsia="宋体"/>
          <w:color w:val="000000"/>
          <w:sz w:val="23"/>
        </w:rPr>
        <w:t>月</w:t>
      </w:r>
      <w:r>
        <w:rPr>
          <w:rFonts w:hint="eastAsia" w:ascii="宋体" w:hAnsi="宋体" w:eastAsia="宋体"/>
          <w:color w:val="000000"/>
          <w:sz w:val="23"/>
        </w:rPr>
        <w:tab/>
      </w:r>
      <w:r>
        <w:rPr>
          <w:rFonts w:hint="eastAsia" w:ascii="宋体" w:hAnsi="宋体" w:eastAsia="宋体"/>
          <w:color w:val="000000"/>
          <w:sz w:val="23"/>
        </w:rPr>
        <w:t>日</w:t>
      </w:r>
    </w:p>
    <w:sectPr>
      <w:type w:val="continuous"/>
      <w:pgSz w:w="11900" w:h="17720"/>
      <w:pgMar w:top="420" w:right="640" w:bottom="420" w:left="640" w:header="200" w:footer="20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3729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149</Words>
  <Characters>149</Characters>
  <TotalTime>27</TotalTime>
  <ScaleCrop>false</ScaleCrop>
  <LinksUpToDate>false</LinksUpToDate>
  <CharactersWithSpaces>152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2026-09-05T05:43:54Z</dcterms:created>
  <dc:creator>INTSIG</dc:creator>
  <dc:description>Intsig Word Converter</dc:description>
  <cp:lastModifiedBy>古月呀</cp:lastModifiedBy>
  <dcterms:modified xsi:type="dcterms:W3CDTF">2026-09-05T06:12:07Z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eyJoZGlkIjoiYjRhYTU2NmVjNDU1ZGE2ODNkZTU1ZWViZmJiOWQwZmMiLCJ1c2VySWQiOiIxNjM0OTExOTI4In0=</vt:lpwstr>
  </property>
  <property fmtid="{D5CDD505-2E9C-101B-9397-08002B2CF9AE}" pid="3" name="KSOProductBuildVer">
    <vt:lpwstr>2052-12.1.0.28488</vt:lpwstr>
  </property>
  <property fmtid="{D5CDD505-2E9C-101B-9397-08002B2CF9AE}" pid="4" name="ICV">
    <vt:lpwstr>FBD89CDD71E94E41A661E1B49237C41C_13</vt:lpwstr>
  </property>
</Properties>
</file>