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  <w:tblGridChange w:id="0">
          <w:tblGrid>
            <w:gridCol w:w="2160"/>
            <w:gridCol w:w="90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2026年9月4日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版本 1.0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参考基线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DeepTutor v1.6.4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阅读对象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项目负责人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参与开发的 AI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文档内容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项目计划书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详细实施流程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配套文件</w:t>
            </w:r>
          </w:p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03_AI执行任务包.md</w:t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 w14:paraId="0000000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pStyle w:val="Title"/>
              <w:spacing w:before="160" w:after="160" w:line="288" w:lineRule="auto"/>
              <w:pBdr>
                <w:top w:val="nil"/>
                <w:left w:val="nil"/>
                <w:bottom w:val="nil"/>
                <w:right w:val="nil"/>
                <w:between w:val="nil"/>
              </w:pBdr>
              <w:keepNext w:val="1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34"/>
                <w:szCs w:val="34"/>
                <w:color w:val="000000"/>
                <w:b w:val="1"/>
                <w:bCs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34"/>
                <w:szCs w:val="34"/>
                <w:color w:val="000000"/>
                <w:b w:val="1"/>
                <w:bCs w:val="1"/>
              </w:rPr>
              <w:t xml:space="preserve">智启课源项目计划与实施手册</w:t>
            </w:r>
          </w:p>
          <w:p>
            <w:pPr>
              <w:spacing w:after="280" w:before="0" w:line="288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20"/>
                <w:szCs w:val="20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20"/>
                <w:szCs w:val="20"/>
                <w:color w:val="000000"/>
                <w:b w:val="0"/>
                <w:bCs w:val="0"/>
              </w:rPr>
              <w:t xml:space="preserve">本手册供项目负责人和参与开发的 AI 使用，包含建设范围、页面规格、技术方案、实施步骤和验收标准。建议先完成全部前端演示，再接入资料问答、练习和笔记。</w:t>
            </w:r>
          </w:p>
          <w:p>
            <w:pPr>
              <w:spacing w:after="280" w:before="0" w:line="288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20"/>
                <w:szCs w:val="20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20"/>
                <w:szCs w:val="20"/>
                <w:color w:val="000000"/>
                <w:b w:val="0"/>
                <w:bCs w:val="0"/>
              </w:rPr>
              <w:t xml:space="preserve">第一部分为项目计划书，第二部分为项目实现详细流程。可直接复制的 T00 至 T12 任务提示词另见配套文件 03_AI执行任务包.md。</w:t>
            </w:r>
          </w:p>
        </w:tc>
      </w:tr>
    </w:tbl>
    <w:p w14:paraId="00000012">
      <w:pPr>
        <w:spacing w:after="0" w:before="0" w:line="240" w:lineRule="auto"/>
        <w:rPr/>
      </w:pPr>
      <w:r>
        <w:rPr>
          <w:rtl w:val="0"/>
        </w:rPr>
      </w:r>
    </w:p>
    <w:p>
      <w:pPr>
        <w:pStyle w:val="Title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34"/>
          <w:szCs w:val="34"/>
          <w:color w:val="000000"/>
          <w:b w:val="1"/>
          <w:bCs w:val="1"/>
        </w:rPr>
        <w:pageBreakBefore w:val="1"/>
      </w:pPr>
      <w:r>
        <w:rPr>
          <w:i w:val="0"/>
          <w:iCs w:val="0"/>
          <w:rtl w:val="0"/>
          <w:rFonts w:ascii="Arial" w:hAnsi="Arial" w:eastAsia="Microsoft YaHei" w:cs="Arial"/>
          <w:sz w:val="34"/>
          <w:szCs w:val="34"/>
          <w:color w:val="000000"/>
          <w:b w:val="1"/>
          <w:bCs w:val="1"/>
        </w:rPr>
        <w:t xml:space="preserve">智启课源项目计划书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版本 1.0　编制日期 2026年9月4日　适用对象 项目负责人及参与开发的 AI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 项目结论与使用方式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建议将本项目建设为中文优先的 AI 学习工作台，参考 DeepTutor 的页面布局和交互方式，分两条连续的交付线推进：先完成可以独立演示的前端，再接入资料问答、练习和笔记，形成可实际使用的学习流程。前端演示完成是第一个成果，不能代替后续真实功能验收。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项目暂用当前目录名称“智启课源”。本计划假设你是主要负责人，使用多个 AI 辅助产品设计、编程和检查；第一批用户为个人学习者及小范围测试用户；先做浏览器网站，中文优先，兼顾手机访问。具体学段、学科、商业模式和部署地区尚未确定，因此不预设学校采购、班级管理或收费体系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本套材料的阅读顺序：本文件用于确定做什么；《02_项目实现详细流程》用于安排怎么做；《03_AI执行任务包》用于向每个 AI 下达任务。正文中的预算、性能和质量数值均为本项目的建议目标或估算，未表示已经完成测试。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2 参考项目核查结果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本次核查固定 DeepTutor v1.6.4，标签解析到提交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e5f2d38c393497a57fda13209be55067c1740ca7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。官方发布说明标注日期为 2026年9月3日。开发时使用此提交作为参考基线，不跟随不断变化的 main。v1.6.3 涉及前后端重构，因此网上较早教程里的目录和路由不能直接混用。</w:t>
      </w:r>
      <w:hyperlink r:id="rIdTask1000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参考版本</w:t>
        </w:r>
      </w:hyperlink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已经阅读前端依赖、全局样式、根布局、侧栏导航、路由目录和官方功能说明，并检查官方首页截图。未在本机启动完整 DeepTutor，也未验证其全部运行时功能。截图属于官网当前展示；首页图中可见 v1.6.4，其他页面在实施阶段仍需补齐同版本截图。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06"/>
        <w:gridCol w:w="2386"/>
        <w:gridCol w:w="2528"/>
      </w:tblGrid>
      <w:tr>
        <w:trPr>
          <w:cantSplit w:val="1"/>
          <w:tblHeader w:val="1"/>
        </w:trPr>
        <w:tc>
          <w:tcPr>
            <w:tcW w:w="210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核查项</w:t>
            </w:r>
          </w:p>
        </w:tc>
        <w:tc>
          <w:tcPr>
            <w:tcW w:w="23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已确认事实</w:t>
            </w:r>
          </w:p>
        </w:tc>
        <w:tc>
          <w:tcPr>
            <w:tcW w:w="2528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对本项目的影响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前端技术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Next.js 声明为 ^16.2.3，React 为 ^19.0.0，Tailwind CSS 为 ^3.4.17，采用 TypeScript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沿用相同技术家族；版本范围不等于锁文件实际安装版本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页面组织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app 下分 workspace、utility、auth、admin 路由组；另有 features、components、contracts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采用路由与业务功能分离，避免每个页面自行实现公共能力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主导航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Home、Partners、My Agents、Co-Writer、Book、Mastery Path、Immersive Reading、Learning Space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以同样的信息层级建立前端页面清单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底部导航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Memory、Knowledge Center、Settings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资料和设置保持固定入口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真实路径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/chat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/books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/mastery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/reading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/knowledge-bases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/notebooks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 等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新项目沿用已确认的主路径，减少 AI 自行起名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视觉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默认白色主题、浅灰侧栏、蓝色交互色；侧栏展开 220px、收起 60px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首版锁定这套风格，其他主题后续增加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学习空间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收纳历史会话、笔记、题库和个性化资源；课程入口暂时隐藏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第一阶段不把课程商城或课程列表当作原版首页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证据分别来自 </w:t>
      </w:r>
      <w:hyperlink r:id="rIdTask1001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前端依赖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hyperlink r:id="rIdTask1002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样式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hyperlink r:id="rIdTask1003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导航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hyperlink r:id="rIdTask1004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侧栏尺寸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和</w:t>
      </w:r>
      <w:hyperlink r:id="rIdTask1005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学习空间说明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3 建设目标与首个学习场景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首个演示场景选择一份可正常提取文字的中文教材 PDF。用户上传教材，创建知识库，询问一个章节概念，点击回答中的来源查看原文，要求生成 5 道练习，提交答案后得到反馈，并把解释保存为学习笔记。关闭浏览器后重新进入，能恢复会话、题目和笔记。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这条流程同时验证页面、上传、任务状态、模型调用、引用、数据库和历史恢复。先固定一个学科和一套测试资料，减少不同格式、不同学科同时引入的变量。扫描教材、复杂公式识别和多模态理解作为后续增强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产品价值落实为三个可观察结果：资料能被找到并引用；学习过程可以继续；回答能转化为可复习的题目和笔记。首版不以模型数量、智能体数量或菜单数量作为成功指标。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4 交付范围与版本边界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63"/>
        <w:gridCol w:w="1614"/>
        <w:gridCol w:w="2457"/>
        <w:gridCol w:w="1686"/>
      </w:tblGrid>
      <w:tr>
        <w:trPr>
          <w:cantSplit w:val="1"/>
          <w:tblHeader w:val="1"/>
        </w:trPr>
        <w:tc>
          <w:tcPr>
            <w:tcW w:w="1263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版本</w:t>
            </w:r>
          </w:p>
        </w:tc>
        <w:tc>
          <w:tcPr>
            <w:tcW w:w="1614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交付内容</w:t>
            </w:r>
          </w:p>
        </w:tc>
        <w:tc>
          <w:tcPr>
            <w:tcW w:w="2457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数据和模型状态</w:t>
            </w:r>
          </w:p>
        </w:tc>
        <w:tc>
          <w:tcPr>
            <w:tcW w:w="16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验收结果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V0.1 界面骨架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主题、侧栏、导航、通用控件、首页和聊天页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固定测试数据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主要布局与参考一致，手机可用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V0.2 完整前端演示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所有主导航页面、笔记题库、弹窗、空态、加载和错误态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Mock 模拟数据，允许本地演示持久化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可走完预设交互，明确显示演示模式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 真实功能测试版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账号、资料上传、单引擎检索、流式问答、练习、笔记、历史、基础阅读、模型设置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服务端持久化和真实模型 API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教材学习流程在两个隔离账号下通过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V1.0 小范围可用版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修复反馈、完善响应式、成本统计、备份恢复、部署监控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独立测试环境和正式环境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连续试用无阻断问题，可回滚和恢复数据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 功能扩展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书本生成、学习路径、协同写作、伙伴、记忆、研究和可视化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按模块逐个真实接入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每增加一项都有独立验收样例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V0.2 要有所有主页面的布局和主要交互，不要求同时实现 DeepTutor 的全部后台机制。V0.3 公开给测试用户时，只展示已接通功能；其余入口可以留在单独的演示环境，或显示明确的“规划中”状态并停止提交操作。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首期不包含支付订阅、班级与学校组织、视频生成、语音实时教学、外部聊天平台机器人、任意代码执行、复杂多智能体编排、多种 RAG 引擎并存。这些需求进入后续清单，不作为首期阻塞项。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5 页面范围和实现优先级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以下“拟定路径”是智启课源的接口与路由决策；带参数的子路径及查询参数并不声称与原项目完全一致。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63"/>
        <w:gridCol w:w="1614"/>
        <w:gridCol w:w="2457"/>
        <w:gridCol w:w="1686"/>
      </w:tblGrid>
      <w:tr>
        <w:trPr>
          <w:cantSplit w:val="1"/>
          <w:tblHeader w:val="1"/>
        </w:trPr>
        <w:tc>
          <w:tcPr>
            <w:tcW w:w="1263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页面</w:t>
            </w:r>
          </w:p>
        </w:tc>
        <w:tc>
          <w:tcPr>
            <w:tcW w:w="1614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拟定路径</w:t>
            </w:r>
          </w:p>
        </w:tc>
        <w:tc>
          <w:tcPr>
            <w:tcW w:w="2457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前端演示版要求</w:t>
            </w:r>
          </w:p>
        </w:tc>
        <w:tc>
          <w:tcPr>
            <w:tcW w:w="16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真实功能阶段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首页与聊天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/chat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/chat/[sessionId]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问候区、输入工具栏、会话、活动抽屉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知识中心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/knowledge-bases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/knowledge-bases/[id]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卡片、上传、文件状态、预览、检索设置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V0.3，单引擎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学习空间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/space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历史、笔记、题库资源入口和数量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V0.3，计数来自数据库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历史记录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/space/history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搜索、重命名、归档、恢复、打开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笔记本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/notebooks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/notebooks/[id]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左列表右编辑、来源、保存、导出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题库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/space/questions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分类、筛选、答题、解析、错题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V0.3，客观题优先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沉浸阅读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/reading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/reading/[id]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文档与聊天分栏、目录、定位、书签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 先 PDF 与文本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交互书本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/books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/books/[id]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书架、创建向导、目录、章节、生成状态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学习路径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/mastery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/mastery/[id]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目标、来源、可编辑大纲、节点状态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协同写作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/co-writer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/co-writer/[id]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编辑器、选段建议、接受或拒绝、版本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学习伙伴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/partners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/partners/[id]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伙伴卡片、角色配置、关联会话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V1.x，先站内聊天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我的智能体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/agents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连接列表、能力与状态、导入示例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V1.x，单独评估执行隔离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学习记忆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/memory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可检索记录、来源、编辑、删除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V1.x，先显式偏好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设置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/settings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分组导航、模型、主题、连接测试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 仅启用已支持项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登录与个人资料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/login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/register</w:t>
            </w: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、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/profile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表单、校验、会话过期、退出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V0.3，试用可关闭公开注册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解题、出题、研究、可视化首先作为聊天输入框的能力模式处理；只有复杂工作需要专门布局时再开独立页面。原项目的主页已经把模式选择和活动面板组织在同一会话中。</w:t>
      </w:r>
      <w:hyperlink r:id="rIdTask1006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主页说明</w:t>
        </w:r>
      </w:hyperlink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6 实现路线选择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63"/>
        <w:gridCol w:w="1614"/>
        <w:gridCol w:w="2457"/>
        <w:gridCol w:w="1686"/>
      </w:tblGrid>
      <w:tr>
        <w:trPr>
          <w:cantSplit w:val="1"/>
          <w:tblHeader w:val="1"/>
        </w:trPr>
        <w:tc>
          <w:tcPr>
            <w:tcW w:w="1263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路线</w:t>
            </w:r>
          </w:p>
        </w:tc>
        <w:tc>
          <w:tcPr>
            <w:tcW w:w="1614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适用情况</w:t>
            </w:r>
          </w:p>
        </w:tc>
        <w:tc>
          <w:tcPr>
            <w:tcW w:w="2457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优点</w:t>
            </w:r>
          </w:p>
        </w:tc>
        <w:tc>
          <w:tcPr>
            <w:tcW w:w="16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必须承担的工作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在固定版本上二次开发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希望保留大多数 DeepTutor 能力，快速自用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页面和后端已有大量实现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熟悉其配置与依赖，维护上游差异，完整回归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独立前端加精简后端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重点是模仿 UI 并构建自己的产品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页面、数据结构和交付范围可控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自己完成检索、持久化和服务接口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默认推荐第二条，理由是你的明确要求集中在 UI 和前端页面，并计划分阶段交给多个 AI。它便于隔离任务，也避免为了展示页面先启动完整智能体系统。若你的实际目标是“完整 DeepTutor 换品牌即可使用”，则应改用第一条，沿用原项目后端和锁文件；不要同时套用本文的自建 API 和数据库方案。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允许在核查许可证后复用合适的源码片段，但每次复用都记录原路径和提交。整页复制通常还会带入上下文、鉴权、国际化、契约类型和运行时依赖，不能只复制一个 TSX 文件就当作完成迁移。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7 技术方案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前端建议采用 Next.js App Router、React、TypeScript、Tailwind CSS 3.4，沿用参考项目的技术家族。组件图标使用 Lucide，正文使用 Markdown 与数学公式渲染。页面默认在独立项目中实现；依赖版本在初始化时统一核实、固定并提交锁文件，不由每个 AI 自行升级。</w:t>
      </w:r>
      <w:hyperlink r:id="rIdTask1007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参考项目依赖</w:t>
        </w:r>
      </w:hyperlink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后端建议使用 FastAPI 加 Python，负责用户权限、模型密钥、上传、检索和任务。结构化数据使用 PostgreSQL，文本向量使用 pgvector；文件先保存到有持久卷的专用目录，之后通过统一存储接口切换到兼容 S3 的对象存储。耗时任务进入 Redis 队列和独立 Worker。此技术组合是新项目建议，不是对 DeepTutor 后端现状的描述。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用一份 OpenAPI 规范生成前端类型；用 REST 完成增删改查，用 SSE 推送生成状态。SSE 是服务端向浏览器持续发送事件的连接。Mock 是遵循同样接口返回固定数据的替身，使前端不必等待后台完成。RAG 指回答前先从资料中检索相关原文，再把原文交给模型。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开发阶段只接一个对话模型服务和一个嵌入模型。服务端建立供应商适配层，再逐个增加其他服务；模型是否支持图像、工具调用、结构化输出和流式结果必须分别验证，不能根据名称推断。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8 多个 AI 的协作方式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把 AI 当作可替换的执行者，职责和交付物保持不变。用于开发的 AI 工具，与产品上线后实际调用的模型 API 是两件事，预算和配置应分开管理。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63"/>
        <w:gridCol w:w="1614"/>
        <w:gridCol w:w="2457"/>
        <w:gridCol w:w="1686"/>
      </w:tblGrid>
      <w:tr>
        <w:trPr>
          <w:cantSplit w:val="1"/>
          <w:tblHeader w:val="1"/>
        </w:trPr>
        <w:tc>
          <w:tcPr>
            <w:tcW w:w="1263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职责</w:t>
            </w:r>
          </w:p>
        </w:tc>
        <w:tc>
          <w:tcPr>
            <w:tcW w:w="1614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输入</w:t>
            </w:r>
          </w:p>
        </w:tc>
        <w:tc>
          <w:tcPr>
            <w:tcW w:w="2457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输出</w:t>
            </w:r>
          </w:p>
        </w:tc>
        <w:tc>
          <w:tcPr>
            <w:tcW w:w="16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由谁决定通过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产品与架构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本计划、目标用户、需求变更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页面规格、接口、决策记录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你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界面实现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截图、设计变量、组件规范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页面、交互、响应式截图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你按参考图验收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后端实现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API、数据表、验收场景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服务、迁移、任务、日志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自动检查加人工场景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集成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已完成的模块分支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可运行的完整流程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指定的一位集成负责人</w:t>
            </w:r>
          </w:p>
        </w:tc>
      </w:tr>
      <w:tr>
        <w:trPr>
          <w:cantSplit w:val="1"/>
        </w:trPr>
        <w:tc>
          <w:tcPr>
            <w:tcW w:w="1263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独立审查</w:t>
            </w:r>
          </w:p>
        </w:tc>
        <w:tc>
          <w:tcPr>
            <w:tcW w:w="161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diff、测试结果、实际截图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可复现问题及复验结果</w:t>
            </w:r>
          </w:p>
        </w:tc>
        <w:tc>
          <w:tcPr>
            <w:tcW w:w="16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你确认高风险问题关闭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每个 AI 只领取一个有边界的任务，例如“知识中心列表和创建弹窗”，不要一次发送“实现整个平台”。同一时段最多让 2 个实现任务并行，接口和公共组件由一位负责人管理。不了解 Git 时先串行：一个任务完成并保存版本，再交给下一个 AI。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共享资料固定为 PRD、页面规范、API 规范、任务清单、决策记录和交接记录。修改任何公共接口时，先更新规范和 Mock，再修改两端并检查调用方。以仓库里的文件为最新状态，不以某次 AI 对话中的口头解释为准。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9 时间与工作量计划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以下按 1 名负责人借助 AI、每天约 4 至 6 小时有效工作估算，已经包含基础联调，但模型服务、文件解析和部署问题可能增加时间。先完成一个页面和一条 API 后，再校准后续估算。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06"/>
        <w:gridCol w:w="2386"/>
        <w:gridCol w:w="2528"/>
      </w:tblGrid>
      <w:tr>
        <w:trPr>
          <w:cantSplit w:val="1"/>
          <w:tblHeader w:val="1"/>
        </w:trPr>
        <w:tc>
          <w:tcPr>
            <w:tcW w:w="210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阶段</w:t>
            </w:r>
          </w:p>
        </w:tc>
        <w:tc>
          <w:tcPr>
            <w:tcW w:w="23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预估有效工作量</w:t>
            </w:r>
          </w:p>
        </w:tc>
        <w:tc>
          <w:tcPr>
            <w:tcW w:w="2528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主要产物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需求和基线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12 至 20 小时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页面清单、截图集、固定版本、验收资料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工程与公共界面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24 至 36 小时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主题、侧栏、组件、Mock、首页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核心页面及扩展页演示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48 至 72 小时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V0.2 完整前端演示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后台和学习流程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64 至 96 小时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V0.3 上传、问答、练习、笔记、恢复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验收与上线试用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32 至 48 小时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测试报告、备份恢复、部署文档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返工预留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前述合计的约 20%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处理集成和体验问题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基础合计 180 至 272 小时，加预留约 216 至 326 小时。按每周 25 小时投入，规划约 9 至 13 周。只做 V0.2 前端演示约 84 至 128 小时，可按 3 至 5 周安排。若已有成熟前后端经验，可能更快；初次开发应扩大预留。扩展功能的真实实现不包含在上述首期估算内。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里程碑按验收推进：先验收页面壳，再验收所有演示页，然后验收一条真实学习流程，最后做小范围试用。上一阶段的阻断问题未解决，不继续增加新菜单。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10 费用规划与成本控制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费用拆分为开发 AI 工具订阅、运行模型调用、服务器与数据库、文件存储与备份、域名及运维。已有开发工具订阅不等于产品运行 API 已免费获得。这里不提供未经核查的供应商现价；采购时按实际地区、配置和官方报价填写预算表。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模型月成本按“输入 token 数 × 输入单价 + 输出 token 数 × 输出单价”计算，统一换算计价单位；再加嵌入、解析、搜索、重试与生成等服务费用。记录每次任务的供应商、模型、用途、用量和计价版本，价格未配置时显示用量，不伪造金额。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举例仅作容量演算：20 名测试用户，每天各提问 15 次，每月按 30 天计算，得到 9,000 轮。若每轮平均输入 4,000、输出 1,000 token，则分别是 3,600 万和 900 万 token。这不是实测平均值，长资料、多轮上下文和自动重试都可能提高消耗。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为控制试用开销，设置账号日额度、单任务 token 上限、并发上限和整站月预算提醒。出题按批量生成，资料去重后再嵌入；长书生成必须在用户看到规模预估后启动。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11 验收目标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510"/>
        <w:gridCol w:w="3510"/>
      </w:tblGrid>
      <w:tr>
        <w:trPr>
          <w:cantSplit w:val="1"/>
          <w:tblHeader w:val="1"/>
        </w:trPr>
        <w:tc>
          <w:tcPr>
            <w:tcW w:w="3510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维度</w:t>
            </w:r>
          </w:p>
        </w:tc>
        <w:tc>
          <w:tcPr>
            <w:tcW w:w="3510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首期建议验收方法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界面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在 1440×900、1024×768、390×844 固定视口检查；布局、侧栏、输入框、字号和状态一致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完整性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清单中的前端页面均可打开；主要按钮均有行为或明确不可用原因；无伪成功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功能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教材学习流程从上传到恢复能完整走通；错误输入与失败恢复可复现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回答依据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准备 30 个材料内问题和 10 个材料外问题；检索前 5 条命中目标段落不少于 27/30；材料外题至少 9/10 明确说明依据不足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引用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人工抽查 30 条引用，文档与页码或段落定位全部正确；“跳到对的页面”与“原文支持结论”分别核查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数据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账号 A 无法读取 B 的资料、对话、笔记及事件流；退出后受保护页面不可继续访问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性能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本地固定 Mock 数据下界面交互反馈不超过 200ms；真实模型首字耗时单独统计，不用假进度掩盖等待</w:t>
            </w:r>
          </w:p>
        </w:tc>
      </w:tr>
      <w:tr>
        <w:trPr>
          <w:cantSplit w:val="1"/>
        </w:trPr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可维护性</w:t>
            </w:r>
          </w:p>
        </w:tc>
        <w:tc>
          <w:tcPr>
            <w:tcW w:w="3510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类型、构建、重要业务测试通过；完整安装和备份恢复步骤由另一位 AI 复核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这些质量阈值是上线前要验证的目标。它们不能证明所有学科都达到相同效果；试用初期应继续记录错误案例，并以实际材料更新测试集。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12 主要风险与应对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06"/>
        <w:gridCol w:w="2386"/>
        <w:gridCol w:w="2528"/>
      </w:tblGrid>
      <w:tr>
        <w:trPr>
          <w:cantSplit w:val="1"/>
          <w:tblHeader w:val="1"/>
        </w:trPr>
        <w:tc>
          <w:tcPr>
            <w:tcW w:w="210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风险</w:t>
            </w:r>
          </w:p>
        </w:tc>
        <w:tc>
          <w:tcPr>
            <w:tcW w:w="23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早期信号</w:t>
            </w:r>
          </w:p>
        </w:tc>
        <w:tc>
          <w:tcPr>
            <w:tcW w:w="2528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应对措施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范围不断增加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核心流程未通就添加多个智能体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将新需求放入 V1.x，先完成当前里程碑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页面像但操作无效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上传始终成功、按钮只有提示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明确状态机和失败场景，逐项点击验收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AI 修改互相覆盖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公共组件或 API 频繁返工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限定文件范围，固定负责人，小任务合并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检索或引用不可靠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回答流畅但找不到原文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固定测试集，保存原文定位，来源不足时明示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密钥或资料泄露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浏览器中出现模型密钥或越权资料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密钥只存服务端，逐资源鉴权，日志脱敏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长任务卡住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页面刷新后永远转圈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保存任务状态，提供取消、重试和重启恢复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升级造成回归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不同 AI 安装不同依赖版本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固定锁文件，集中升级，先在测试环境验证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参考项目采用 Apache 2.0。复用并分发源码时，应附带许可证、保留适用声明，并对修改文件标注变更；若原分发包含 NOTICE，应按条款保留相关归属声明。品牌名称与 Logo 单独处理，首版使用“智启课源”自己的文字标识。</w:t>
      </w:r>
      <w:hyperlink r:id="rIdTask1008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项目许可证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</w:t>
      </w:r>
      <w:hyperlink r:id="rIdTask1009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Apache 条款</w:t>
        </w:r>
      </w:hyperlink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13 开始前需要确定的事项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不必一次决定所有问题。默认先按本文假设启动，第一阶段结束前确定：首个用户群和学科、只需前端演示还是继续到真实测试版、每周可投入时间、首期可用预算、公开网站还是个人自用。若定位变为学校平台、未成年人规模使用或收费服务，应另行补充组织权限、运营和部署地区对应的上线要求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今天可以执行的第一项任务是：把本套文件交给一个 AI，要求它只完成参考截图归档、页面清单和项目初始化计划；按《03_AI执行任务包》的 T00 验收后，再生成工程代码。</w:t>
      </w:r>
    </w:p>
    <w:p>
      <w:pPr>
        <w:pStyle w:val="Title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34"/>
          <w:szCs w:val="34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34"/>
          <w:szCs w:val="34"/>
          <w:color w:val="000000"/>
          <w:b w:val="1"/>
          <w:bCs w:val="1"/>
        </w:rPr>
        <w:t xml:space="preserve">智启课源项目实现详细流程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版本 1.0　编制日期 2026年9月4日　配套文件 01_项目计划书和03_AI执行任务包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 执行原则和技术边界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本手册按“独立前端加精简后端”路线编写。所有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/api/v1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接口、数据表、开发目录、任务编号和子页面参数都是新项目设计，不能直接当成 DeepTutor 已提供的接口。若选择 DeepTutor 二次开发，应改为阅读固定版本的真实契约并使用其服务，不执行本手册的自建后台部分。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开始时先交付 Mock 前端；之后逐个替换服务适配器接入真实 API。页面组件不直接调用模型供应商，也不自行读写数据库。公共类型、设计变量和 API 只有一套，所有参与的 AI 都读取同一版本。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每个阶段遵循同一流程：读取输入资料，列出修改文件，完成实现，执行相关检查，提供截图或真实请求证据，更新交接记录，保存一个可恢复的版本。发现需求冲突时记录具体冲突，不擅自改掉已经通过验收的全局约定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2 第一步 固定参考版本和页面基线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输入：DeepTutor 仓库、提交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e5f2d38c393497a57fda13209be55067c1740ca7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、本项目计划和首个演示资料。输出：参考来源清单、截图集、路由清单和依赖清单。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在独立参考目录检出该版本；不要把整个参考项目的依赖、数据目录和密钥拷入新项目。下面为后续执行者使用的 PowerShell 示例，本次规划没有运行这些克隆和安装命令。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Set-Location 'F:\智启课源'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New-Item -ItemType Directory -Force 'references'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git clone --depth 1 --branch v1.6.4 https://github.com/HKUDS/DeepTutor.git references/DeepTutor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git -C references/DeepTutor rev-parse HEAD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核对输出 SHA 与上方一致。阅读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web/package.json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web/app/globals.css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web/components/sidebar/nav-entries.ts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web/components/sidebar/SidebarShell.tsx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web/app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web/features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和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web/contracts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。先记录使用哪些组件和交互，再决定是否复用源码。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截图至少覆盖首页、长会话、知识库列表与详情、学习空间、笔记、题库、阅读、书本、学习路径、写作、伙伴、智能体、记忆、设置。每个核心页面保存默认态和一个展开态。统一主题、语言、缩放和数据，记录来源 URL、版本和拍摄视口。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本次已核对的</w:t>
      </w:r>
      <w:hyperlink r:id="rIdTask1010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官网首页截图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可作为首页视觉起点；未取得的截图明确登记为待补，不用 AI 猜测图代替参考。固定版本源码是尺寸和路由的最终核查依据。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通过条件：每个计划页面都有对应来源或明确标记为本项目新增；原项目版本及本项目设计决策分开记录。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3 第二步 建立设计变量与公共布局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3.1 视觉基线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首版以 DeepTutor 的白色默认主题为准。以下颜色及侧栏尺寸取自固定提交，其余字号、间距和分栏值是本项目实施起点，需要用真实截图微调。</w:t>
      </w:r>
      <w:hyperlink r:id="rIdTask1011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主题源码</w:t>
        </w:r>
      </w:hyperlink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</w:t>
      </w:r>
      <w:hyperlink r:id="rIdTask1012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侧栏源码</w:t>
        </w:r>
      </w:hyperlink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06"/>
        <w:gridCol w:w="2386"/>
        <w:gridCol w:w="2528"/>
      </w:tblGrid>
      <w:tr>
        <w:trPr>
          <w:cantSplit w:val="1"/>
          <w:tblHeader w:val="1"/>
        </w:trPr>
        <w:tc>
          <w:tcPr>
            <w:tcW w:w="210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项目</w:t>
            </w:r>
          </w:p>
        </w:tc>
        <w:tc>
          <w:tcPr>
            <w:tcW w:w="23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初始值</w:t>
            </w:r>
          </w:p>
        </w:tc>
        <w:tc>
          <w:tcPr>
            <w:tcW w:w="2528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使用位置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主背景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#FFFFFF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工作区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侧栏与次级背景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#F7F7F7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左侧导航、次级区域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正文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#0D0D0D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标题和主要文字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次级文字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#6E6E6E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提示、辅助信息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边框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#E5E5E5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输入框、分割、卡片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主交互色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#2563EB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焦点、链接、主要操作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导航选中背景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#ECECEC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当前页面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危险色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#D92D20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删除、失败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侧栏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展开 220px，收起 60px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固定宽度、内部滚动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字体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界面用无衬线；中文用系统中文字体兜底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避免中文缺字或外部字体加载阻塞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字号建议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正文 14 至 16px，页标题 24 至 28px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输入区和长文保持可读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间距建议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4、8、12、16、24、32px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统一间距阶梯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圆角建议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控件 8 至 12px，卡片 16px，主输入框 24px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同类控件使用同一变量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动效建议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120 至 240ms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只用于展开、切换和反馈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将变量放在一个主题文件中，用语义名称引用。不要在每个页面散落颜色常量。深色主题放到公共布局稳定之后实施，所有页面共用主题切换；初期不必同时实现原版所有主题。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3.2 页面外壳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桌面外壳由左侧导航、主工作区和可选右面板组成。侧栏上方放项目文字标识和折叠按钮，中部放功能入口和最近会话，下方固定记忆、知识中心及设置。主区域顶部放页面标题和当前页面操作。正文独立滚动，输入框保持可见，避免全页滚动与消息区滚动互相干扰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聊天正文先以 800px 左右最大宽度居中实现，阅读和编辑页可使用全部剩余宽度。右侧活动面板初始约 360px，可收起；视口不足时改用抽屉。以上正文和面板宽度是项目建议，不是对参考图的精确量取。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响应式约定：1280px 及以上可展示三栏；768 至 1279px 优先保留内容与侧栏，辅助面板覆盖式展开；小于 768px 使用单栏和抽屉导航。阅读页的正文与问答在手机上使用标签切换。以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100dvh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适配移动地址栏，并实际测试软键盘出现后的输入框位置。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3.3 公共组件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先完成 AppShell、Sidebar、PageHeader、Button、IconButton、Input、Select、Dialog、Drawer、Tabs、Card、DropdownMenu、Tooltip、Toast、EmptyState、LoadingState、ErrorState、ConfirmDialog，再实现 Composer、MarkdownRenderer、CitationChip、FileDropzone、TaskStatus、MessageList。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给图标按钮提供可读名称，弹窗打开后焦点进入弹窗，关闭后回到触发按钮。按钮的不可用状态解释原因；状态不能只靠颜色区分。表格与代码块在自己的区域横向滚动，不让整个页面超过手机宽度。动效尊重系统减少动画的设置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通过条件：同一组件的外观和行为一致，侧栏当前项与 URL 一致，刷新后主题和侧栏偏好能恢复，直接打开深层链接可用，键盘能完成基础操作。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4 第三步 按页面实现交互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4.1 首页与聊天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默认态：顶部显示“新对话”；中间为问候和大输入框，下方展示三条学习建议。输入框包含模式、附件、知识库、角色和模型入口。V0.2 中模型列表使用固定演示数据，不能暗示已经连接真实供应商。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操作流程：用户输入后发送，创建会话并进入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/chat/[sessionId]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；消息从等待变为输出中，再进入完成或失败。用户向上滚动查看历史时，新增文字不能强制把视口拉回底部；提供“回到最新”按钮。支持停止、复制、保存到笔记、重新生成和 Markdown 导出。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活动面板只展示实际事件、调用摘要、引用和附件，不伪造模型内部思考过程。点击引用打开资料定位。建议问题点击后默认填入输入框，由用户发送。中文输入法组合输入期间，Enter 不得误发；桌面约定 Enter 发送，Shift+Enter 换行。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需要演示的状态：空会话、长会话、生成中、已停止、失败、重试、网络断开、模型未配置、知识库未就绪。真实版检查刷新恢复、切换会话后后台生成状态、重复点击发送和取消结果。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4.2 知识中心与文件详情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列表包含知识库名称、说明、文件数量、索引状态和更新时间，支持搜索、创建与删除。详情页包含文件列表、添加文件、检索设置和预览区。新项目首期只提供一种检索引擎，避免展示无法使用的配置。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上传步骤：选择文件，显示名称、大小和校验结果，上传完成后进入后台解析与索引；页面分别显示上传进度和处理状态。首版建议 PDF、TXT、Markdown，每个文件上限先定为 20MB；这是本项目限制，不是 DeepTutor 的原有限制。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单文件状态采用 queued、parsing、indexing、ready、failed、cancelled。资料库状态由文件汇总，允许“部分可用”。解析失败展示原因、重试和移除；删除单个失败文件不需要删除整个资料库。只有已就绪版本可参与检索。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重建索引写入新版本，验证后切换活动版本，旧版本保留用于回退。嵌入模型或维度变化必须新建索引，不能混存。原项目也采用版本化索引和文件级管理，可参考其页面组织。</w:t>
      </w:r>
      <w:hyperlink r:id="rIdTask1013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知识中心说明</w:t>
        </w:r>
      </w:hyperlink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4.3 学习空间与历史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学习空间以资源卡片组织会话、笔记和题库，后续添加角色和扩展能力。数量在真实版由服务端返回，不能写死。历史页支持按关键词、归档状态和会话模式筛选，支持重命名、归档、恢复和打开。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删除会话前确认；归档不等于删除。空状态给出“开始对话”等可执行入口。重开会话要恢复选定知识库、可用模型偏好和消息，而不只是恢复一个标题。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4.4 笔记本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左侧显示笔记本和搜索，右侧显示记录列表或编辑内容。每条记录保留标题、正文、来源类型、来源 ID、创建时间和更新时间。来源可以是某条回答、某道题或某页资料。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编辑器首版用 Markdown，不同时开发复杂富文本。自动保存采用短暂防抖，必须显示“保存中、已保存、保存失败”。服务端使用版本号检查冲突，避免两个标签页互相覆盖。导出采用 Markdown；删除来源后保留笔记正文及“来源已不可访问”提示。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4.5 题库与练习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题库列表包含题型、知识点、难度、答题状态和收藏。首版实现单选、多选和判断；简答题可以展示参考答案和 AI 建议，但没有可靠评分规则前不纳入确定性成绩。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生成练习先选择来源、题数、类型和难度，后端校验模型返回结构。用户提交前，浏览器只拿到题目和选项，不拿到正确答案。提交后服务端完成评分，返回得分、正确选项、解析和来源。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多选题首版使用严格集合相等评分并明确提示；同一次提交使用幂等键避免重复记分。作答结果和题目版本同时保存，生成同类新题时不覆盖既有作答。错题筛选依赖实际答题记录，不能由前端随意设置。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4.6 沉浸阅读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列表页选择资料，阅读页左侧显示 PDF 或文本，右侧显示围绕该资料的会话。顶部提供目录、页码、缩放、书签，选择一段文字后出现“解释所选内容”的操作。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PDF 使用物理页码；TXT 和 Markdown 使用段落或章节定位，不能编造页码。引用保存 doc_id、version、locator 和可核验的原文片段。切换或重新上传资料后检查定位版本，旧引用打不开时明确说明。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首版完成页码或段落跳转和书签，精确跨行高亮后置。扫描 PDF 无文本时明确提示暂不支持，需要 OCR；不要打开空页面后宣称资料已可问答。原版沉浸阅读与多文档知识库是不同工作方式，本项目也分别处理。</w:t>
      </w:r>
      <w:hyperlink r:id="rIdTask1014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阅读说明</w:t>
        </w:r>
      </w:hyperlink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4.7 书本与学习路径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书本页：书架卡片，创建向导，来源选择，可编辑章节大纲，章节阅读，生成状态。V0.2 用固定章节展示操作；真实版先生成一个章节，检查引用和成本后再支持整本。后台任务必须可取消、重试，并记录生成版本。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学习路径页：目标卡片、目标输入、学习材料选择、大纲编辑、知识节点和进度。区分未开始、学习中、已完成、待复习。V0.2 的进度来自模拟题目；真实版定义掌握规则后再解锁下一节点，不能把“看过页面”自动算作掌握。参考产品以目标、材料和大纲组织创建流程。</w:t>
      </w:r>
      <w:hyperlink r:id="rIdTask1015">
        <w:r>
          <w:rPr>
            <w:i w:val="0"/>
            <w:iCs w:val="0"/>
            <w:rtl w:val="0"/>
            <w:rFonts w:ascii="Arial" w:hAnsi="Arial" w:eastAsia="Microsoft YaHei" w:cs="Arial"/>
            <w:sz w:val="20"/>
            <w:szCs w:val="20"/>
            <w:color w:val="2563EB"/>
            <w:b w:val="0"/>
            <w:bCs w:val="0"/>
          </w:rPr>
          <w:t xml:space="preserve">学习路径说明</w:t>
        </w:r>
      </w:hyperlink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4.8 写作 伙伴 智能体和记忆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协同写作采用文档列表、Markdown 编辑区和 AI 建议区。选段改写先展示建议差异，由用户接受或拒绝；保存历史版本以便撤回。不要直接覆盖全文。V0.2 用固定建议模拟。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伙伴页采用角色卡片、创建或编辑表单和绑定会话。首个真实版本仅实现站内角色提示和独立会话；外部聊天平台接入作为新任务。我的智能体页展示连接状态和能力，演示模式用清晰的测试记录；没有真实适配器时不显示“已连接”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记忆页先管理用户明确保存的学习目标、偏好和弱项，每条记录带来源，支持编辑和删除。自动从所有对话提炼长期记忆在后续设计中增加，先处理删除同步、冲突和用户可控性。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4.9 设置 登录和个人资料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设置页使用可搜索分组导航和表单面板，覆盖模型、外观、上传限制和账户。模型配置记录供应商、服务端地址、模型 ID、用途和能力；保存与测试连接分开，测试真实发起最小请求并返回脱敏错误。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密钥只通过受保护接口提交到服务端，读取时返回“已配置”或掩码；不在 localStorage、网页源码、Git 或截图中保留明文。普通用户只选择管理员允许的模型配置，任意供应商地址配置限管理员。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登录表单处理必填、错误凭证和会话失效，登录成功返回原目标页面。公开注册默认关闭，测试用户由管理员创建。前端路由守卫负责体验，后端每个资源接口仍需鉴权。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5 第四步 初始化工程和 Mock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建议目录如下。它是目标结构，初始化工具生成的文件可以调整到这里，不要求一次建立所有空模块。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zhiqikeyuan/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apps/web/src/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app/                 路由与布局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components/ui/       公共基础组件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components/layout/   页面外壳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features/            chat knowledge notes quiz reading 等业务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services/            mock 和 http 适配器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contracts/           从 API 生成的类型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styles/              设计变量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apps/api/app/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api/                 HTTP 与 SSE 入口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services/            业务逻辑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providers/           模型服务适配器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repositories/        数据访问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  workers/             解析与生成任务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docs/                  PRD UI API 任务 决策 交接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tests/fixtures/        可分享的固定教材与预期答案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tests/e2e/             关键学习流程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infra/                 部署与环境示例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统一使用一种包管理器；建议 npm，并提交 package-lock.json。Python 统一依赖管理和锁定方式。先运行安装、开发服务、类型检查、Lint 和生产构建，在 README 里写出确切命令。建议脚本名为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typecheck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lint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test:unit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test:e2e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、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build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，这些是新项目要创建的脚本，不是声称当前目录已经存在。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前端先定义 service 接口，如 listKnowledgeBases、createSession、submitTurn、watchTask、saveNote。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mock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与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http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实现相同返回结构。演示模式只用测试数据，采用确定性延迟和可选失败开关。登录也要区分演示身份与真实认证。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本地演示持久化只保存虚构资料的元数据和少量内容；用户文件与生产业务数据不依赖浏览器本地存储。给演示环境提供“重置测试数据”入口。真实构建禁止自动退回 Mock；后端断开时显示错误。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通过条件：不配置模型密钥仍能运行完整前端；切换适配器只需要配置变化和联调，不需要重写 UI；每个核心页面能切换空态、加载、成功和失败场景。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6 第五步 设计数据与权限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数据库迁移文件随代码提交，每次结构变化创建新迁移。所有业务数据使用稳定 ID；时间用 UTC 保存、按用户时区显示。所有属于用户的资源记录 owner_id，服务端根据登录会话确定 owner_id，不接受客户端传来的用户 ID 作为授权凭证。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06"/>
        <w:gridCol w:w="2386"/>
        <w:gridCol w:w="2528"/>
      </w:tblGrid>
      <w:tr>
        <w:trPr>
          <w:cantSplit w:val="1"/>
          <w:tblHeader w:val="1"/>
        </w:trPr>
        <w:tc>
          <w:tcPr>
            <w:tcW w:w="210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实体</w:t>
            </w:r>
          </w:p>
        </w:tc>
        <w:tc>
          <w:tcPr>
            <w:tcW w:w="23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主要字段</w:t>
            </w:r>
          </w:p>
        </w:tc>
        <w:tc>
          <w:tcPr>
            <w:tcW w:w="2528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必须保持的关系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users 与 auth_sessions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user_id、角色、状态、密码摘要、会话摘要、过期时间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密码与会话 token 不明文保存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knowledge_bases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id、owner_id、name、active_index_version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只指向完整可用的索引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documents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id、kb_id、owner_id、storage_key、hash、status、version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文件与索引任务可追踪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chunks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id、doc_id、index_version、text、locator、embedding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引用回到原文版本，向量维度统一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chat_sessions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id、owner_id、mode、title、archived_at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最近会话与历史共用同一记录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messages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id、session_id、role、content、status、turn_id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输出失败也保留状态与已生成部分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turns 与 task_events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id、session_id、status、seq、payload、updated_at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重连按事件序号恢复，事件不可串号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jobs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id、owner_id、type、status、attempt、error_code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后台处理、重试和取消持久化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notebooks 与 notes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id、owner_id、notebook_id、body、source_ref、revision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笔记来自资料或消息，正文可独立保存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quizzes 与 questions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id、owner_id、source_refs、type、stem、options、answer、revision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正确答案只在允许的服务端流程中返回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attempts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id、owner_id、question_id、question_revision、response、score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保留当时的题目和作答版本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reading_states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owner_id、doc_id、version、locator、bookmarks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每个用户独立阅读进度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model_profiles 与 usage_records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配置、能力、用途、用量、任务 ID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密钥字段加密且不出现在普通查询中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扩展页需要的 books、chapters、mastery_topics、mastery_nodes、draft_versions、personas 和 memory_items 等表，在真实接入该模块时再迁移。V0.2 使用同形状的示例数据，不提前增加无用生产表。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查询链条必须检查归属。例如通过消息 ID 查询会话时，不能只确认用户已登录，还要确认该会话属于当前用户；文件下载、引用定位、任务轮询和 SSE 订阅遵循相同规则。越权统一返回不暴露资源内容的错误。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删除知识库先使其不可检索，再清理分块、索引和文件。生成中的任务需要停止或标记无效，防止删除后又写回数据。依赖它的旧回答可保留，但来源链接必须显示资料已删除。记录备份保留期，避免把立即删除承诺扩展到尚未清除的备份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7 第六步 固定 API 契约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下面是新项目接口草案。先用它定义 OpenAPI，再生成前端类型和 Mock；开始实现后，所有变更在契约中先记录。错误统一返回 code、message、request_id，业务错误与网络错误分开显示。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159"/>
        <w:gridCol w:w="1404"/>
        <w:gridCol w:w="2457"/>
      </w:tblGrid>
      <w:tr>
        <w:trPr>
          <w:cantSplit w:val="1"/>
          <w:tblHeader w:val="1"/>
        </w:trPr>
        <w:tc>
          <w:tcPr>
            <w:tcW w:w="3159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方法和路径</w:t>
            </w:r>
          </w:p>
        </w:tc>
        <w:tc>
          <w:tcPr>
            <w:tcW w:w="1404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用途</w:t>
            </w:r>
          </w:p>
        </w:tc>
        <w:tc>
          <w:tcPr>
            <w:tcW w:w="2457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返回或约束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/api/v1/auth/login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登录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设置受保护会话 Cookie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/api/v1/auth/logout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退出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撤销服务端会话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/api/v1/me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当前用户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不含凭证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和 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/api/v1/knowledge-bases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列表与创建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游标分页、归属校验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/api/v1/knowledge-bases/{id}/documents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上传文件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202，document_id 和 job_id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DELETE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/api/v1/documents/{id}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移除资料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202，清理任务状态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/api/v1/jobs/{id}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查询后台任务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当前状态、阶段和错误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/api/v1/jobs/{id}/cancel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请求取消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返回当前状态，允许已经完成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/api/v1/jobs/{id}/retry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重试失败任务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新 attempt，避免重复产物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/api/v1/documents/{id}/source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原文及定位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version、locator、受权内容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和 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/api/v1/sessions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会话列表与创建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返回 session_id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/api/v1/sessions/{id}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恢复会话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消息、状态、可用偏好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PATCH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/api/v1/sessions/{id}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标题或归档状态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检查字段权限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/api/v1/sessions/{id}/turns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提交一轮输入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202，turn_id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/api/v1/turns/{id}/events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SSE 订阅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支持 after_seq 恢复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/api/v1/turns/{id}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获取快照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已累积内容和任务状态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/api/v1/turns/{id}/cancel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请求停止生成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cancellation_requested 或实际终态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和 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/api/v1/notebooks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笔记本管理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用户内资源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/api/v1/notebooks/{id}/notes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新建笔记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来源校验、正文保存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PATCH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/api/v1/notes/{id}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修改笔记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revision 不符返回 409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/api/v1/notebooks/{id}/export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导出 Markdown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文件下载响应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/api/v1/quizzes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根据资料出题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202，job_id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/api/v1/quizzes/{id}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获取练习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未提交前不含答案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/api/v1/questions/{id}/attempts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提交答案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得分、解析、引用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和 PATCH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/api/v1/reading-states/{docId}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读取或保存阅读位置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文档版本和定位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GET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/api/v1/models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列出可用模型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只返回允许使用的配置</w:t>
            </w:r>
          </w:p>
        </w:tc>
      </w:tr>
      <w:tr>
        <w:trPr>
          <w:cantSplit w:val="1"/>
        </w:trPr>
        <w:tc>
          <w:tcPr>
            <w:tcW w:w="3159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POST </w:t>
            </w:r>
            <w:r>
              <w:rPr>
                <w:i w:val="0"/>
                <w:iCs w:val="0"/>
                <w:rtl w:val="0"/>
                <w:rFonts w:ascii="Consolas" w:hAnsi="Consolas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/api/v1/model-profiles/{id}/test</w:t>
            </w:r>
          </w:p>
        </w:tc>
        <w:tc>
          <w:tcPr>
            <w:tcW w:w="1404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测试连接</w:t>
            </w:r>
          </w:p>
        </w:tc>
        <w:tc>
          <w:tcPr>
            <w:tcW w:w="2457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需管理员权限，脱敏结果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相关列表和详情的其余增删改查，在对应页面任务开始前补齐方法、字段和权限；不允许 AI 在页面里临时拼接未定义地址。筛选、排序、空结果、分页和 401、403/404、409、413、422、429、5xx 都要有前端处理。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一次对话提交的示例结构：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{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"client_request_id": "uuid-generated-by-client",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"content": "请解释这份教材中的动量守恒",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"mode": "chat",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"model_profile_id": "chat-default",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"knowledge_base_ids": ["kb-demo"],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  "attachment_ids": []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}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client_request_id 在重试同一个提交时保持不变；服务端对“用户、会话、请求 ID”建唯一约束，避免重复生成和计费。同一个 turn 的模式、模型、资料版本在提交时固定；页面上改选模型只影响下一轮。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SSE 事件的示例：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id: 12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event: message.delta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data: {"turn_id":"turn-01","seq":12,"delta":"在没有外力作用时"}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8"/>
          <w:szCs w:val="18"/>
          <w:color w:val="000000"/>
          <w:b w:val="0"/>
          <w:bCs w:val="0"/>
        </w:rPr>
        <w:t xml:space="preserve"/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id: 13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event: citation.added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data: {"turn_id":"turn-01","seq":13,"source_id":"s1","doc_id":"doc-01","version":1,"locator":{"kind":"pdf_page","page":12}}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8"/>
          <w:szCs w:val="18"/>
          <w:color w:val="000000"/>
          <w:b w:val="0"/>
          <w:bCs w:val="0"/>
        </w:rPr>
        <w:t xml:space="preserve"/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id: 14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event: turn.completed</w:t>
      </w:r>
    </w:p>
    <w:p>
      <w:pPr>
        <w:spacing w:before="0" w:after="25" w:line="264" w:lineRule="auto"/>
        <w:keepNext w:val="0"/>
        <w:keepLines w:val="0"/>
        <w:widowControl w:val="1"/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</w:pPr>
      <w:r>
        <w:rPr>
          <w:i w:val="0"/>
          <w:iCs w:val="0"/>
          <w:rtl w:val="0"/>
          <w:rFonts w:ascii="Consolas" w:hAnsi="Consolas" w:eastAsia="Microsoft YaHei" w:cs="Arial"/>
          <w:sz w:val="18"/>
          <w:szCs w:val="18"/>
          <w:color w:val="000000"/>
          <w:b w:val="0"/>
          <w:bCs w:val="0"/>
        </w:rPr>
        <w:t xml:space="preserve">data: {"turn_id":"turn-01","seq":14,"message_id":"msg-02"}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事件类型至少定义 turn.started、message.delta、citation.added、task.progress、turn.completed、turn.failed、turn.cancelled。前端按 turn_id 和 seq 去重；刷新先获取快照，再从 last_seq 订阅，服务端补发之后的事件，避免快照和订阅之间漏消息。事件超出保留窗口时返回需重新获取快照的状态。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先 POST 创建任务，再 GET 订阅事件。浏览器 EventSource 无法任意设置 Authorization 头，因此建议同源 HttpOnly 会话 Cookie；如必须使用令牌，则用 fetch 流读取，并设计过期刷新。跨域、Cookie、CSRF 和 CORS 策略必须一起确定。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SSE 断开只代表连接断开，不能自动把任务当作失败或重新提交。收到终态事件后停止 loading；取消先进入 cancelling，只有服务端确认后进入 cancelled。失败和取消保留部分输出，重新生成时创建新 turn，旧输出不被覆盖。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8 第七步 实现真实学习流程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8.1 资料进入知识库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1. 服务端校验身份、文件大小、类型与可接受内容，分配 document_id 和私有存储路径。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2. 保存文件、内容哈希和 queued 状态，创建解析任务，返回 202。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3. Worker 提取文字及页码或段落定位；无文字、加密文件、损坏文件明确失败。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4. 按标题和段落切分，保留 chunk_id、doc_id、version 和 locator。初始分块可从约 500 至 800 token、重叠 80 至 120 token 调起，并用测试集评估后调整。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5. 调用嵌入模型，批量写入暂存索引；确认全部必需分块写入成功后切换为 ready。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6. 页面轮询或订阅任务进度。重新索引时活动旧版本继续可用，新版本验证后再切换。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相同文件去重首先限制在用户或资料库范围，不能通过去重响应暴露其他用户是否上传过某个文件。任务重试利用哈希与版本避免重复分块。文件系统保存成功但数据库事务失败时，要有孤立文件清理机制。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8.2 检索和生成回答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先判断用户选择的知识库是否可用，再对当前版本检索。首版采用向量检索，可按测试结果增加关键词混合检索和重排，不同时引入多套引擎。检索结果分配服务端 source_id，把原文、来源与定位作为受限上下文传给模型。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模型输出的引用 ID 必须属于本轮实际检索结果；校验无法对应的引用并提示。检索结果不足时说明资料依据不足，可以向用户请求补充材料。来源检索和引用定位由程序保证，不能依赖模型随意生成 URL 或页码。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先记录开始状态和输入，再逐段保存输出与事件，最后持久化完成状态和用量。把提交成功、检索完成、模型开始输出分别展示为真实状态；无法准确估计进度时使用阶段文字，不虚构百分比。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8.3 出题和保存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出题沿用已授权资料检索结果，并用 JSON Schema 约束题型、题干、选项、正确答案、解析和 source_id。校验单选只有一个正确项、多选答案在合法选项集合内、判断题值类型正确、题数满足约束、引用可解析。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结构校验失败最多做有限次数的修复尝试，仍失败则返回任务错误；不能把半成品题目当成生成成功。答案保存在服务端，提交后再按评分规则返回。把有价值的解析存入笔记时，同时保留 source_ref 和原问题链接。</w:t>
      </w:r>
    </w:p>
    <w:p>
      <w:pPr>
        <w:pStyle w:val="Heading2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3"/>
          <w:szCs w:val="23"/>
          <w:color w:val="000000"/>
          <w:b w:val="1"/>
          <w:bCs w:val="1"/>
        </w:rPr>
        <w:t xml:space="preserve">8.4 模型供应商适配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适配层统一流式文本、终态、错误、用量和结构化输出等语义；每家供应商内部处理自己的鉴权、协议和事件格式。能力标记初始为未知，验证后设为支持或不支持。不要假设所有“兼容”端点都支持相同参数。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首期只需要普通文本和流式输出。结构化结果如果不能原生保证，先校验再有限重试。统一处理超时、429、鉴权失败、内容被拒、网络中断和余额不足。已经输出部分内容后发生故障，保存中断状态；不要自动在另一个模型重新生成并拼接成同一答案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9 第八步 联调和质量检查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先用同一 API 规范让 Mock 与真实后端执行一组契约样例，确认字段、空值、错误和事件一致。然后依次联调登录、上传、索引、问答、引用、出题、笔记和历史恢复。所有阶段的证据标记环境和代码版本。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视觉检查固定 1440×900、1024×768、390×844，截图统一时间、字体、主题和测试数据，关闭非必要动画。每页按结构、尺寸间距、字体颜色、状态和响应式分别记录问题，优先修复结构和交互问题。像素差异只能辅助检查，不能用一个“还原度百分比”代替人工对照。</w:t>
      </w:r>
    </w:p>
    <w:tbl>
      <w:tblPr>
        <w:tblW w:w="702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06"/>
        <w:gridCol w:w="2386"/>
        <w:gridCol w:w="2528"/>
      </w:tblGrid>
      <w:tr>
        <w:trPr>
          <w:cantSplit w:val="1"/>
          <w:tblHeader w:val="1"/>
        </w:trPr>
        <w:tc>
          <w:tcPr>
            <w:tcW w:w="210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编号</w:t>
            </w:r>
          </w:p>
        </w:tc>
        <w:tc>
          <w:tcPr>
            <w:tcW w:w="2386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场景</w:t>
            </w:r>
          </w:p>
        </w:tc>
        <w:tc>
          <w:tcPr>
            <w:tcW w:w="2528" w:type="dxa"/>
            <w:vAlign w:val="center"/>
            <w:shd w:val="clear" w:fill="F0F0F0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Cs w:val="0"/>
                <w:b w:val="1"/>
              </w:rPr>
              <w:t xml:space="preserve">预期结果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E01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无数据首次访问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空状态说明明确，能创建首个资源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E02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上传合法 PDF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状态顺序正确，可预览并可检索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E03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上传超限或损坏文件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显示具体原因，不留下可检索的假记录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E04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提问教材内问题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流式回答，引用可定位且支持结论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E05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提问资料外问题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明确依据不足，不伪造资料引用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E06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发送按钮重复点击或请求重试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只建立一次逻辑生成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E07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输出途中断网再恢复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恢复同一 turn，无重复文本或重复计费提交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E08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生成中停止并刷新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以服务端真实状态恢复，不永远转圈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E09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保存笔记并重新登录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内容和来源仍在，保存失败不冒充成功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E10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答题前检查网络响应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无正确答案泄露；提交后结果正确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E11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账号 A 访问 B 的 ID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文件、消息、任务与事件均不可读取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E12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修改笔记产生版本冲突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409 与冲突提示，不静默覆盖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E13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手机上输入中文和展开抽屉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不误发，不遮挡输入框，内容不横向溢出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E14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Worker 在任务中途重启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任务可识别、恢复或明确失败并可重试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E15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删除资料后点击旧引用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显示不可访问，不跳到其他资料</w:t>
            </w:r>
          </w:p>
        </w:tc>
      </w:tr>
      <w:tr>
        <w:trPr>
          <w:cantSplit w:val="1"/>
        </w:trPr>
        <w:tc>
          <w:tcPr>
            <w:tcW w:w="210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E16</w:t>
            </w:r>
          </w:p>
        </w:tc>
        <w:tc>
          <w:tcPr>
            <w:tcW w:w="2386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从备份恢复到新实例</w:t>
            </w:r>
          </w:p>
        </w:tc>
        <w:tc>
          <w:tcPr>
            <w:tcW w:w="2528" w:type="dxa"/>
            <w:vAlign w:val="center"/>
          </w:tcPr>
          <w:p>
            <w:pPr>
              <w:spacing w:before="0" w:after="65" w:line="264" w:lineRule="auto"/>
              <w:keepNext w:val="0"/>
              <w:keepLines w:val="0"/>
              <w:widowControl w:val="1"/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</w:pPr>
            <w:r>
              <w:rPr>
                <w:i w:val="0"/>
                <w:iCs w:val="0"/>
                <w:rtl w:val="0"/>
                <w:rFonts w:ascii="Arial" w:hAnsi="Arial" w:eastAsia="Microsoft YaHei" w:cs="Arial"/>
                <w:sz w:val="19"/>
                <w:szCs w:val="19"/>
                <w:color w:val="000000"/>
                <w:b w:val="0"/>
                <w:bCs w:val="0"/>
              </w:rPr>
              <w:t xml:space="preserve">数据、文件和关键关联一致</w:t>
            </w:r>
          </w:p>
        </w:tc>
      </w:tr>
    </w:tbl>
    <w:p>
      <w:pPr>
        <w:spacing w:before="0" w:after="65" w:line="264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19"/>
          <w:szCs w:val="19"/>
          <w:color w:val="000000"/>
          <w:b w:val="0"/>
          <w:bCs w:val="0"/>
        </w:rPr>
        <w:t xml:space="preserve"/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单元测试重点覆盖评分、引用解析、权限判断、状态转移和事件去重。端到端测试覆盖关键学习流程和异常恢复。不要为了测试数量给每个静态标题写测试。若只是修改间距或文案，截图检查和相关页面验证即可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通过条件：类型检查、Lint、生产构建和关键流程测试通过；高风险问题关闭；尚未实现的模块与已接通模块在发布环境中清晰可分辨。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10 第九步 部署和运行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开发环境运行 web、api、worker、PostgreSQL 和 Redis；测试环境采用与正式环境一致的容器定义。服务器容量先按测试数据测量，模型推理使用外部 API 时无需为了网页本身采购 GPU。扫描识别或本地模型另做容量评估。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1. 创建独立测试域名，配置 HTTPS 和同源反向代理，让 </w:t>
      </w:r>
      <w:r>
        <w:rPr>
          <w:i w:val="0"/>
          <w:iCs w:val="0"/>
          <w:rtl w:val="0"/>
          <w:rFonts w:ascii="Consolas" w:hAnsi="Consolas" w:eastAsia="Microsoft YaHei" w:cs="Arial"/>
          <w:sz w:val="20"/>
          <w:szCs w:val="20"/>
          <w:color w:val="000000"/>
          <w:b w:val="0"/>
          <w:bCs w:val="0"/>
        </w:rPr>
        <w:t xml:space="preserve">/api/v1</w:t>
      </w: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 指向后台。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2. 构建固定版本镜像，记录 Git SHA；密钥由服务端环境或秘密配置注入，样例文件只写占位符。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3. 创建数据库及文件持久卷；运行迁移，创建测试账户和小型资料集。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4. 配置队列、并发、请求大小和超时；SSE 关闭代理响应缓冲，定期心跳，验证实际流式响应。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5. 执行 E01 至 E16；检查跨账号访问、重启恢复和真实模型限流。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6. 生成备份，恢复到隔离实例，核对文件与数据库关联；向用户试用前完成这一轮恢复。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7. 小范围开放，收集错误与费用；通过后以同一构建产物发布正式环境。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日志至少包含 request_id、user_id 的受控标识、turn_id、job_id、供应商错误码、阶段耗时和用量；不记录明文密钥或整份私人教材。监控队列积压、失败率、首字耗时、终态遗漏和存储容量。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回滚前先判断迁移是否向后兼容。常规回滚切回上一镜像；不兼容的数据迁移必须有单独恢复步骤和已验证备份，不能盲目运行 downgrade。备份应同时覆盖数据库、文件和必要加密配置，按目标恢复点保持一致。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通过条件：从空环境按 README 能部署；重启不丢数据；SSE 经真实域名工作；备份能够恢复；发生模型故障时用户看到可理解的失败和后续操作。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11 第十步 扩展功能和后续维护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扩展顺序建议为协同写作、章节书本、学习路径、角色伙伴、可编辑记忆，最后才是外部智能体、复杂研究和任意代码执行。每项扩展先增加一个真实用户场景、接口、状态和错误处理，再扩大能力。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书本分章节任务执行，避免整本生成作为一个不可恢复请求。学习路径根据客观题表现和用户目标定义掌握规则。自动记忆必须可查看、修改和删除。运行用户或模型生成的代码需要独立执行隔离、资源限制和网络策略，作为专门项目评估，不直接在 API 进程内执行。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每周集中处理依赖更新、错误回归和成本。回收过期任务事件时保留最终消息和必要状态；更换嵌入模型先重建索引；修改提示词后运行同一测试集并记录版本。不要在正在试用的主环境中同时更换模型、检索参数和页面结构。</w:t>
      </w:r>
    </w:p>
    <w:p>
      <w:pPr>
        <w:pStyle w:val="Heading1"/>
        <w:spacing w:before="160" w:after="160" w:line="288" w:lineRule="auto"/>
        <w:pBdr>
          <w:top w:val="nil"/>
          <w:left w:val="nil"/>
          <w:bottom w:val="nil"/>
          <w:right w:val="nil"/>
          <w:between w:val="nil"/>
        </w:pBdr>
        <w:keepNext w:val="1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</w:pPr>
      <w:r>
        <w:rPr>
          <w:i w:val="0"/>
          <w:iCs w:val="0"/>
          <w:rtl w:val="0"/>
          <w:rFonts w:ascii="Arial" w:hAnsi="Arial" w:eastAsia="Microsoft YaHei" w:cs="Arial"/>
          <w:sz w:val="26"/>
          <w:szCs w:val="26"/>
          <w:color w:val="000000"/>
          <w:b w:val="1"/>
          <w:bCs w:val="1"/>
        </w:rPr>
        <w:t xml:space="preserve">12 每个任务的完成定义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一个任务完成至少需要：改动符合任务范围；重要状态可演示；接口契约一致；相关检查实际执行且结果明确；截图或请求证据可复查；交接记录列出已完成、未完成、运行命令和下一任务。未执行的检查写“未执行”并给出原因，不能写“应当通过”。</w:t>
      </w:r>
    </w:p>
    <w:p>
      <w:pPr>
        <w:spacing w:after="280" w:before="0" w:line="288" w:lineRule="auto"/>
        <w:keepNext w:val="0"/>
        <w:keepLines w:val="0"/>
        <w:widowControl w:val="1"/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</w:pPr>
      <w:r>
        <w:rPr>
          <w:i w:val="0"/>
          <w:iCs w:val="0"/>
          <w:rtl w:val="0"/>
          <w:rFonts w:ascii="Arial" w:hAnsi="Arial" w:eastAsia="Microsoft YaHei" w:cs="Arial"/>
          <w:sz w:val="20"/>
          <w:szCs w:val="20"/>
          <w:color w:val="000000"/>
          <w:b w:val="0"/>
          <w:bCs w:val="0"/>
        </w:rPr>
        <w:t xml:space="preserve">项目负责人只需要每次核对三个问题：本次能实际操作什么；失败时会发生什么；交给下一位 AI 能否从文件中恢复上下文。对应的可复制任务文本见《03_AI执行任务包》。</w:t>
      </w:r>
    </w:p>
    <w:sectPr>
      <w:headerReference r:id="rId7" w:type="default"/>
      <w:footerReference r:id="rId8" w:type="default"/>
      <w:pgSz w:h="15840" w:w="12240" w:orient="portrait"/>
      <w:pgMar w:bottom="1008" w:top="72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3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40"/>
      <w:gridCol w:w="1440"/>
      <w:tblGridChange w:id="0">
        <w:tblGrid>
          <w:gridCol w:w="8640"/>
          <w:gridCol w:w="14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9">
          <w:pPr>
            <w:spacing w:after="0" w:before="0" w:line="240" w:lineRule="auto"/>
            <w:rPr>
              <w:sz w:val="18"/>
              <w:szCs w:val="18"/>
            </w:rPr>
          </w:pPr>
          <w:r>
            <w:rPr>
              <w:rFonts w:ascii="Arial" w:cs="Arial" w:eastAsia="Microsoft YaHei" w:hAnsi="Arial"/>
              <w:b w:val="0"/>
              <w:bCs w:val="0"/>
              <w:i w:val="0"/>
              <w:iCs w:val="0"/>
              <w:color w:val="5a5a5a"/>
              <w:sz w:val="18"/>
              <w:szCs w:val="18"/>
              <w:rtl w:val="0"/>
            </w:rPr>
            <w:t xml:space="preserve">智启课源  |  项目规划  |  版本 1.0</w:t>
          </w:r>
          <w:r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A">
          <w:pPr>
            <w:spacing w:after="0" w:before="0" w:line="240" w:lineRule="auto"/>
            <w:jc w:val="right"/>
            <w:rPr/>
          </w:pPr>
          <w:r>
            <w:rPr>
              <w:rFonts w:ascii="Arial" w:cs="Arial" w:eastAsia="Microsoft YaHei" w:hAnsi="Arial"/>
              <w:b w:val="0"/>
              <w:bCs w:val="0"/>
              <w:i w:val="0"/>
              <w:iCs w:val="0"/>
              <w:color w:val="5a5a5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tl w:val="0"/>
            </w:rPr>
          </w:r>
        </w:p>
      </w:tc>
    </w:tr>
  </w:tbl>
  <w:p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2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60"/>
      <w:gridCol w:w="7020"/>
      <w:tblGridChange w:id="0">
        <w:tblGrid>
          <w:gridCol w:w="3060"/>
          <w:gridCol w:w="702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4">
          <w:pPr>
            <w:spacing w:after="0" w:before="0" w:line="240" w:lineRule="auto"/>
            <w:rPr>
              <w:color w:val="f27c26"/>
              <w:sz w:val="28"/>
              <w:szCs w:val="28"/>
            </w:rPr>
          </w:pPr>
          <w:r>
            <w:rPr>
              <w:rFonts w:ascii="Arial" w:cs="Arial" w:eastAsia="Microsoft YaHei" w:hAnsi="Arial"/>
              <w:b w:val="1"/>
              <w:bCs w:val="1"/>
              <w:i w:val="0"/>
              <w:iCs w:val="0"/>
              <w:color w:val="f27c26"/>
              <w:sz w:val="48"/>
              <w:szCs w:val="48"/>
              <w:rtl w:val="0"/>
            </w:rPr>
            <w:t xml:space="preserve">智启课源</w:t>
          </w:r>
          <w:r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5">
          <w:pPr>
            <w:spacing w:after="0" w:before="0" w:line="252.00000000000003" w:lineRule="auto"/>
            <w:rPr>
              <w:sz w:val="18"/>
              <w:szCs w:val="18"/>
            </w:rPr>
          </w:pPr>
          <w:r>
            <w:rPr>
              <w:rFonts w:ascii="Arial" w:cs="Arial" w:eastAsia="Microsoft YaHei" w:hAnsi="Arial"/>
              <w:b w:val="0"/>
              <w:bCs w:val="0"/>
              <w:i w:val="0"/>
              <w:iCs w:val="0"/>
              <w:color w:val="000000"/>
              <w:sz w:val="18"/>
              <w:szCs w:val="18"/>
              <w:rtl w:val="0"/>
            </w:rPr>
            <w:t xml:space="preserve">项目计划书与实施流程</w:t>
          </w:r>
          <w:r>
            <w:rPr>
              <w:rtl w:val="0"/>
            </w:rPr>
          </w:r>
        </w:p>
        <w:p w14:paraId="00000016">
          <w:pPr>
            <w:spacing w:after="0" w:before="0" w:line="252.00000000000003" w:lineRule="auto"/>
            <w:rPr>
              <w:sz w:val="18"/>
              <w:szCs w:val="18"/>
            </w:rPr>
          </w:pPr>
          <w:r>
            <w:rPr>
              <w:rFonts w:ascii="Arial" w:cs="Arial" w:eastAsia="Microsoft YaHei" w:hAnsi="Arial"/>
              <w:b w:val="0"/>
              <w:bCs w:val="0"/>
              <w:i w:val="0"/>
              <w:iCs w:val="0"/>
              <w:color w:val="000000"/>
              <w:sz w:val="18"/>
              <w:szCs w:val="18"/>
              <w:rtl w:val="0"/>
            </w:rPr>
            <w:t xml:space="preserve">版本 1.0  |  2026年9月4日</w:t>
          </w:r>
          <w:r>
            <w:rPr>
              <w:rtl w:val="0"/>
            </w:rPr>
          </w:r>
        </w:p>
      </w:tc>
    </w:tr>
  </w:tbl>
  <w:p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ask1000" Type="http://schemas.openxmlformats.org/officeDocument/2006/relationships/hyperlink" Target="https://github.com/HKUDS/DeepTutor/releases/tag/v1.6.4" TargetMode="External"/><Relationship Id="rIdTask1001" Type="http://schemas.openxmlformats.org/officeDocument/2006/relationships/hyperlink" Target="https://github.com/HKUDS/DeepTutor/blob/e5f2d38c393497a57fda13209be55067c1740ca7/web/package.json" TargetMode="External"/><Relationship Id="rIdTask1002" Type="http://schemas.openxmlformats.org/officeDocument/2006/relationships/hyperlink" Target="https://github.com/HKUDS/DeepTutor/blob/e5f2d38c393497a57fda13209be55067c1740ca7/web/app/globals.css" TargetMode="External"/><Relationship Id="rIdTask1003" Type="http://schemas.openxmlformats.org/officeDocument/2006/relationships/hyperlink" Target="https://github.com/HKUDS/DeepTutor/blob/e5f2d38c393497a57fda13209be55067c1740ca7/web/components/sidebar/nav-entries.ts" TargetMode="External"/><Relationship Id="rIdTask1004" Type="http://schemas.openxmlformats.org/officeDocument/2006/relationships/hyperlink" Target="https://github.com/HKUDS/DeepTutor/blob/e5f2d38c393497a57fda13209be55067c1740ca7/web/components/sidebar/SidebarShell.tsx" TargetMode="External"/><Relationship Id="rIdTask1005" Type="http://schemas.openxmlformats.org/officeDocument/2006/relationships/hyperlink" Target="https://docs.deeptutor.info/explore/space/" TargetMode="External"/><Relationship Id="rIdTask1006" Type="http://schemas.openxmlformats.org/officeDocument/2006/relationships/hyperlink" Target="https://docs.deeptutor.info/explore/chat-workspace/" TargetMode="External"/><Relationship Id="rIdTask1007" Type="http://schemas.openxmlformats.org/officeDocument/2006/relationships/hyperlink" Target="https://github.com/HKUDS/DeepTutor/blob/e5f2d38c393497a57fda13209be55067c1740ca7/web/package.json" TargetMode="External"/><Relationship Id="rIdTask1008" Type="http://schemas.openxmlformats.org/officeDocument/2006/relationships/hyperlink" Target="https://github.com/HKUDS/DeepTutor/blob/e5f2d38c393497a57fda13209be55067c1740ca7/LICENSE" TargetMode="External"/><Relationship Id="rIdTask1009" Type="http://schemas.openxmlformats.org/officeDocument/2006/relationships/hyperlink" Target="https://www.apache.org/licenses/LICENSE-2.0" TargetMode="External"/><Relationship Id="rIdTask1010" Type="http://schemas.openxmlformats.org/officeDocument/2006/relationships/hyperlink" Target="https://deeptutor.info/screenshots/OVERVIEW.png" TargetMode="External"/><Relationship Id="rIdTask1011" Type="http://schemas.openxmlformats.org/officeDocument/2006/relationships/hyperlink" Target="https://github.com/HKUDS/DeepTutor/blob/e5f2d38c393497a57fda13209be55067c1740ca7/web/app/globals.css" TargetMode="External"/><Relationship Id="rIdTask1012" Type="http://schemas.openxmlformats.org/officeDocument/2006/relationships/hyperlink" Target="https://github.com/HKUDS/DeepTutor/blob/e5f2d38c393497a57fda13209be55067c1740ca7/web/components/sidebar/SidebarShell.tsx" TargetMode="External"/><Relationship Id="rIdTask1013" Type="http://schemas.openxmlformats.org/officeDocument/2006/relationships/hyperlink" Target="https://docs.deeptutor.info/explore/knowledge/" TargetMode="External"/><Relationship Id="rIdTask1014" Type="http://schemas.openxmlformats.org/officeDocument/2006/relationships/hyperlink" Target="https://docs.deeptutor.info/explore/reading/" TargetMode="External"/><Relationship Id="rIdTask1015" Type="http://schemas.openxmlformats.org/officeDocument/2006/relationships/hyperlink" Target="https://docs.deeptutor.info/explore/mastery-pa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