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940"/>
      </w:tblGrid>
      <w:tr>
        <w:tc>
          <w:tcPr>
            <w:tcW w:type="dxa" w:w="6500"/>
            <w:tcBorders>
              <w:top w:val="none" w:sz="0"/>
              <w:left w:val="none" w:sz="0"/>
              <w:bottom w:val="none" w:sz="0"/>
              <w:right w:val="none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MONDOSHAWAN PROTOCOL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B2BEC3"/>
                <w:sz w:val="18"/>
                <w:szCs w:val="18"/>
              </w:rPr>
              <w:t xml:space="preserve">Post-Quantum Layer 1 Blockchain  |  Token: QMON</w:t>
            </w:r>
          </w:p>
        </w:tc>
        <w:tc>
          <w:tcPr>
            <w:tcW w:type="dxa" w:w="3940"/>
            <w:tcBorders>
              <w:top w:val="none" w:sz="0"/>
              <w:left w:val="none" w:sz="0"/>
              <w:bottom w:val="none" w:sz="0"/>
              <w:right w:val="none" w:sz="0"/>
            </w:tcBorders>
            <w:shd w:fill="1669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IKO CANDIDATE</w:t>
            </w:r>
          </w:p>
          <w:p>
            <w:pPr>
              <w:spacing w:after="0"/>
              <w:jc w:val="center"/>
            </w:pPr>
            <w:r>
              <w:rPr>
                <w:color w:val="E0F7FA"/>
                <w:sz w:val="16"/>
                <w:szCs w:val="16"/>
              </w:rPr>
              <w:t xml:space="preserve">Kommunitas  |  February 2026</w:t>
            </w:r>
          </w:p>
        </w:tc>
      </w:tr>
    </w:tbl>
    <w:p>
      <w:pPr>
        <w:spacing w:before="200" w:after="80"/>
      </w:pPr>
    </w:p>
    <w:p>
      <w:pPr>
        <w:pBdr>
          <w:bottom w:val="single" w:color="16697A" w:sz="2"/>
        </w:pBdr>
        <w:spacing w:after="60"/>
      </w:pPr>
      <w:r>
        <w:rPr>
          <w:i/>
          <w:iCs/>
          <w:color w:val="2D3436"/>
          <w:sz w:val="20"/>
          <w:szCs w:val="20"/>
        </w:rPr>
        <w:t xml:space="preserve">The first Layer 1 blockchain with NIST-standardized post-quantum cryptography, GhostDAG consensus, and TriStream mining — built in Rust, live on testnet.</w:t>
      </w:r>
    </w:p>
    <w:p>
      <w:pPr>
        <w:spacing w:before="1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5340"/>
      </w:tblGrid>
      <w:tr>
        <w:tc>
          <w:tcPr>
            <w:tcW w:type="dxa" w:w="51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Style w:val="Heading2"/>
            </w:pPr>
            <w:r>
              <w:rPr>
                <w:b/>
                <w:bCs/>
              </w:rPr>
              <w:t xml:space="preserve">WHY IT MATTERS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Every major blockchain (Ethereum, Solana, Cardano, Bitcoin) is vulnerable to quantum computing attacks. NIST finalized post-quantum cryptographic standards in August 2024. Mondoshawan is the first L1 built natively on these standards — not retrofitting existing architecture.</w:t>
            </w:r>
          </w:p>
          <w:p>
            <w:pPr>
              <w:pStyle w:val="Heading2"/>
              <w:spacing w:before="160"/>
            </w:pPr>
            <w:r>
              <w:rPr>
                <w:b/>
                <w:bCs/>
              </w:rPr>
              <w:t xml:space="preserve">TECHNICAL DIFFERENTIATORS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Post-Quantum Signatures: </w:t>
            </w:r>
            <w:r>
              <w:rPr>
                <w:sz w:val="18"/>
                <w:szCs w:val="18"/>
              </w:rPr>
              <w:t xml:space="preserve">NIST ML-DSA (Dilithium) for all transactions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GhostDAG Consensus: </w:t>
            </w:r>
            <w:r>
              <w:rPr>
                <w:sz w:val="18"/>
                <w:szCs w:val="18"/>
              </w:rPr>
              <w:t xml:space="preserve">Parallel block processing, sub-second finality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TriStream Mining: </w:t>
            </w:r>
            <w:r>
              <w:rPr>
                <w:sz w:val="18"/>
                <w:szCs w:val="18"/>
              </w:rPr>
              <w:t xml:space="preserve">GPU (45%) + ASIC (35%) + ZK Proving (20%)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EVM Compatible: </w:t>
            </w:r>
            <w:r>
              <w:rPr>
                <w:sz w:val="18"/>
                <w:szCs w:val="18"/>
              </w:rPr>
              <w:t xml:space="preserve">Existing Solidity dApps deploy natively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Built in Rust: </w:t>
            </w:r>
            <w:r>
              <w:rPr>
                <w:sz w:val="18"/>
                <w:szCs w:val="18"/>
              </w:rPr>
              <w:t xml:space="preserve">Memory-safe, production-grade codebase</w:t>
            </w:r>
          </w:p>
          <w:p>
            <w:pPr>
              <w:pStyle w:val="Heading2"/>
              <w:spacing w:before="160"/>
            </w:pPr>
            <w:r>
              <w:rPr>
                <w:b/>
                <w:bCs/>
              </w:rPr>
              <w:t xml:space="preserve">WHAT’S ALREADY BUILT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✅ Full L1 blockchain (not a fork — built from scratch)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✅ Live testnet with block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✅ Block explorer operational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✅ Open-source GitHub repository (MIT license)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✅ QMON ticker unified across all repos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✅ Tokenomics finalized (see separate document)</w:t>
            </w:r>
          </w:p>
        </w:tc>
        <w:tc>
          <w:tcPr>
            <w:tcW w:type="dxa" w:w="53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pStyle w:val="Heading2"/>
            </w:pPr>
            <w:r>
              <w:rPr>
                <w:b/>
                <w:bCs/>
              </w:rPr>
              <w:t xml:space="preserve">TOKEN SNAPSHOT</w:t>
            </w:r>
          </w:p>
          <w:tbl>
            <w:tblPr>
              <w:tblW w:type="dxa" w:w="49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740"/>
            </w:tblGrid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0F3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/>
                      <w:bCs/>
                      <w:color w:val="2D3436"/>
                      <w:sz w:val="16"/>
                      <w:szCs w:val="16"/>
                    </w:rPr>
                    <w:t xml:space="preserve">Ticker</w:t>
                  </w:r>
                </w:p>
              </w:tc>
              <w:tc>
                <w:tcPr>
                  <w:tcW w:type="dxa" w:w="27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0F3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/>
                      <w:bCs/>
                      <w:color w:val="2D3436"/>
                      <w:sz w:val="16"/>
                      <w:szCs w:val="16"/>
                    </w:rPr>
                    <w:t xml:space="preserve">QMON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/>
                      <w:bCs/>
                      <w:color w:val="2D3436"/>
                      <w:sz w:val="16"/>
                      <w:szCs w:val="16"/>
                    </w:rPr>
                    <w:t xml:space="preserve">Max Supply</w:t>
                  </w:r>
                </w:p>
              </w:tc>
              <w:tc>
                <w:tcPr>
                  <w:tcW w:type="dxa" w:w="27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 w:val="false"/>
                      <w:bCs w:val="false"/>
                      <w:color w:val="2D3436"/>
                      <w:sz w:val="16"/>
                      <w:szCs w:val="16"/>
                    </w:rPr>
                    <w:t xml:space="preserve">1,000,000,000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0F3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/>
                      <w:bCs/>
                      <w:color w:val="2D3436"/>
                      <w:sz w:val="16"/>
                      <w:szCs w:val="16"/>
                    </w:rPr>
                    <w:t xml:space="preserve">Mining</w:t>
                  </w:r>
                </w:p>
              </w:tc>
              <w:tc>
                <w:tcPr>
                  <w:tcW w:type="dxa" w:w="27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0F3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 w:val="false"/>
                      <w:bCs w:val="false"/>
                      <w:color w:val="2D3436"/>
                      <w:sz w:val="16"/>
                      <w:szCs w:val="16"/>
                    </w:rPr>
                    <w:t xml:space="preserve">70%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/>
                      <w:bCs/>
                      <w:color w:val="2D3436"/>
                      <w:sz w:val="16"/>
                      <w:szCs w:val="16"/>
                    </w:rPr>
                    <w:t xml:space="preserve">IKO (Kommunitas)</w:t>
                  </w:r>
                </w:p>
              </w:tc>
              <w:tc>
                <w:tcPr>
                  <w:tcW w:type="dxa" w:w="27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 w:val="false"/>
                      <w:bCs w:val="false"/>
                      <w:color w:val="2D3436"/>
                      <w:sz w:val="16"/>
                      <w:szCs w:val="16"/>
                    </w:rPr>
                    <w:t xml:space="preserve">7%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0F3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/>
                      <w:bCs/>
                      <w:color w:val="2D3436"/>
                      <w:sz w:val="16"/>
                      <w:szCs w:val="16"/>
                    </w:rPr>
                    <w:t xml:space="preserve">Team (12-mo cliff)</w:t>
                  </w:r>
                </w:p>
              </w:tc>
              <w:tc>
                <w:tcPr>
                  <w:tcW w:type="dxa" w:w="27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0F3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 w:val="false"/>
                      <w:bCs w:val="false"/>
                      <w:color w:val="2D3436"/>
                      <w:sz w:val="16"/>
                      <w:szCs w:val="16"/>
                    </w:rPr>
                    <w:t xml:space="preserve">5%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/>
                      <w:bCs/>
                      <w:color w:val="2D3436"/>
                      <w:sz w:val="16"/>
                      <w:szCs w:val="16"/>
                    </w:rPr>
                    <w:t xml:space="preserve">Ecosystem</w:t>
                  </w:r>
                </w:p>
              </w:tc>
              <w:tc>
                <w:tcPr>
                  <w:tcW w:type="dxa" w:w="27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 w:val="false"/>
                      <w:bCs w:val="false"/>
                      <w:color w:val="2D3436"/>
                      <w:sz w:val="16"/>
                      <w:szCs w:val="16"/>
                    </w:rPr>
                    <w:t xml:space="preserve">8%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0F3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/>
                      <w:bCs/>
                      <w:color w:val="2D3436"/>
                      <w:sz w:val="16"/>
                      <w:szCs w:val="16"/>
                    </w:rPr>
                    <w:t xml:space="preserve">Liquidity (locked)</w:t>
                  </w:r>
                </w:p>
              </w:tc>
              <w:tc>
                <w:tcPr>
                  <w:tcW w:type="dxa" w:w="27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0F3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 w:val="false"/>
                      <w:bCs w:val="false"/>
                      <w:color w:val="2D3436"/>
                      <w:sz w:val="16"/>
                      <w:szCs w:val="16"/>
                    </w:rPr>
                    <w:t xml:space="preserve">3%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/>
                      <w:bCs/>
                      <w:color w:val="2D3436"/>
                      <w:sz w:val="16"/>
                      <w:szCs w:val="16"/>
                    </w:rPr>
                    <w:t xml:space="preserve">Other (dev/mktg/reserve)</w:t>
                  </w:r>
                </w:p>
              </w:tc>
              <w:tc>
                <w:tcPr>
                  <w:tcW w:type="dxa" w:w="27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 w:val="false"/>
                      <w:bCs w:val="false"/>
                      <w:color w:val="2D3436"/>
                      <w:sz w:val="16"/>
                      <w:szCs w:val="16"/>
                    </w:rPr>
                    <w:t xml:space="preserve">7%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0F3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/>
                      <w:bCs/>
                      <w:color w:val="2D3436"/>
                      <w:sz w:val="16"/>
                      <w:szCs w:val="16"/>
                    </w:rPr>
                    <w:t xml:space="preserve">TGE Circulating</w:t>
                  </w:r>
                </w:p>
              </w:tc>
              <w:tc>
                <w:tcPr>
                  <w:tcW w:type="dxa" w:w="27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0F3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 w:val="false"/>
                      <w:bCs w:val="false"/>
                      <w:color w:val="2D3436"/>
                      <w:sz w:val="16"/>
                      <w:szCs w:val="16"/>
                    </w:rPr>
                    <w:t xml:space="preserve">1.4% of supply</w:t>
                  </w:r>
                </w:p>
              </w:tc>
            </w:tr>
          </w:tbl>
          <w:p>
            <w:pPr>
              <w:pStyle w:val="Heading2"/>
              <w:spacing w:before="180"/>
            </w:pPr>
            <w:r>
              <w:rPr>
                <w:b/>
                <w:bCs/>
              </w:rPr>
              <w:t xml:space="preserve">IKO STRUCTURE</w:t>
            </w:r>
          </w:p>
          <w:tbl>
            <w:tblPr>
              <w:tblW w:type="dxa" w:w="49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740"/>
            </w:tblGrid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3F2F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/>
                      <w:bCs/>
                      <w:color w:val="2D3436"/>
                      <w:sz w:val="16"/>
                      <w:szCs w:val="16"/>
                    </w:rPr>
                    <w:t xml:space="preserve">IKO Type</w:t>
                  </w:r>
                </w:p>
              </w:tc>
              <w:tc>
                <w:tcPr>
                  <w:tcW w:type="dxa" w:w="27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3F2F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 w:val="false"/>
                      <w:bCs w:val="false"/>
                      <w:color w:val="2D3436"/>
                      <w:sz w:val="16"/>
                      <w:szCs w:val="16"/>
                    </w:rPr>
                    <w:t xml:space="preserve">Secure IKO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/>
                      <w:bCs/>
                      <w:color w:val="2D3436"/>
                      <w:sz w:val="16"/>
                      <w:szCs w:val="16"/>
                    </w:rPr>
                    <w:t xml:space="preserve">Network</w:t>
                  </w:r>
                </w:p>
              </w:tc>
              <w:tc>
                <w:tcPr>
                  <w:tcW w:type="dxa" w:w="27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 w:val="false"/>
                      <w:bCs w:val="false"/>
                      <w:color w:val="2D3436"/>
                      <w:sz w:val="16"/>
                      <w:szCs w:val="16"/>
                    </w:rPr>
                    <w:t xml:space="preserve">Polygon (ERC-20)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3F2F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/>
                      <w:bCs/>
                      <w:color w:val="2D3436"/>
                      <w:sz w:val="16"/>
                      <w:szCs w:val="16"/>
                    </w:rPr>
                    <w:t xml:space="preserve">IKO Allocation</w:t>
                  </w:r>
                </w:p>
              </w:tc>
              <w:tc>
                <w:tcPr>
                  <w:tcW w:type="dxa" w:w="27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3F2F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 w:val="false"/>
                      <w:bCs w:val="false"/>
                      <w:color w:val="2D3436"/>
                      <w:sz w:val="16"/>
                      <w:szCs w:val="16"/>
                    </w:rPr>
                    <w:t xml:space="preserve">70M QMON (7%)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/>
                      <w:bCs/>
                      <w:color w:val="2D3436"/>
                      <w:sz w:val="16"/>
                      <w:szCs w:val="16"/>
                    </w:rPr>
                    <w:t xml:space="preserve">TGE Unlock</w:t>
                  </w:r>
                </w:p>
              </w:tc>
              <w:tc>
                <w:tcPr>
                  <w:tcW w:type="dxa" w:w="27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 w:val="false"/>
                      <w:bCs w:val="false"/>
                      <w:color w:val="2D3436"/>
                      <w:sz w:val="16"/>
                      <w:szCs w:val="16"/>
                    </w:rPr>
                    <w:t xml:space="preserve">20%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3F2F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/>
                      <w:bCs/>
                      <w:color w:val="2D3436"/>
                      <w:sz w:val="16"/>
                      <w:szCs w:val="16"/>
                    </w:rPr>
                    <w:t xml:space="preserve">Vesting</w:t>
                  </w:r>
                </w:p>
              </w:tc>
              <w:tc>
                <w:tcPr>
                  <w:tcW w:type="dxa" w:w="27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3F2F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 w:val="false"/>
                      <w:bCs w:val="false"/>
                      <w:color w:val="2D3436"/>
                      <w:sz w:val="16"/>
                      <w:szCs w:val="16"/>
                    </w:rPr>
                    <w:t xml:space="preserve">5-month linear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/>
                      <w:bCs/>
                      <w:color w:val="2D3436"/>
                      <w:sz w:val="16"/>
                      <w:szCs w:val="16"/>
                    </w:rPr>
                    <w:t xml:space="preserve">Liquidity Lock</w:t>
                  </w:r>
                </w:p>
              </w:tc>
              <w:tc>
                <w:tcPr>
                  <w:tcW w:type="dxa" w:w="27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 w:val="false"/>
                      <w:bCs w:val="false"/>
                      <w:color w:val="2D3436"/>
                      <w:sz w:val="16"/>
                      <w:szCs w:val="16"/>
                    </w:rPr>
                    <w:t xml:space="preserve">12 months (DxLock)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3F2F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/>
                      <w:bCs/>
                      <w:color w:val="2D3436"/>
                      <w:sz w:val="16"/>
                      <w:szCs w:val="16"/>
                    </w:rPr>
                    <w:t xml:space="preserve">Refund</w:t>
                  </w:r>
                </w:p>
              </w:tc>
              <w:tc>
                <w:tcPr>
                  <w:tcW w:type="dxa" w:w="27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3F2F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 w:val="false"/>
                      <w:bCs w:val="false"/>
                      <w:color w:val="2D3436"/>
                      <w:sz w:val="16"/>
                      <w:szCs w:val="16"/>
                    </w:rPr>
                    <w:t xml:space="preserve">72-hour window</w:t>
                  </w:r>
                </w:p>
              </w:tc>
            </w:tr>
          </w:tbl>
          <w:p>
            <w:pPr>
              <w:pStyle w:val="Heading2"/>
              <w:spacing w:before="180"/>
            </w:pPr>
            <w:r>
              <w:rPr>
                <w:b/>
                <w:bCs/>
              </w:rPr>
              <w:t xml:space="preserve">FOUNDER</w:t>
            </w:r>
          </w:p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David Cooper</w:t>
            </w:r>
            <w:r>
              <w:rPr>
                <w:color w:val="636E72"/>
                <w:sz w:val="16"/>
                <w:szCs w:val="16"/>
              </w:rPr>
              <w:t xml:space="preserve">  |  CCIE #14019 (20+ years)</w:t>
            </w:r>
          </w:p>
          <w:p>
            <w:pPr>
              <w:spacing w:after="30"/>
            </w:pPr>
            <w:r>
              <w:rPr>
                <w:sz w:val="16"/>
                <w:szCs w:val="16"/>
              </w:rPr>
              <w:t xml:space="preserve">Network Security Architect  |  25 years cybersecurity</w:t>
            </w:r>
          </w:p>
          <w:p>
            <w:pPr>
              <w:spacing w:after="30"/>
            </w:pPr>
            <w:r>
              <w:rPr>
                <w:sz w:val="16"/>
                <w:szCs w:val="16"/>
              </w:rPr>
              <w:t xml:space="preserve">Air Force veteran  |  BS Cybersecurity &amp; IA</w:t>
            </w:r>
          </w:p>
          <w:p>
            <w:pPr>
              <w:spacing w:after="30"/>
            </w:pPr>
            <w:r>
              <w:rPr>
                <w:sz w:val="16"/>
                <w:szCs w:val="16"/>
              </w:rPr>
              <w:t xml:space="preserve">40+ published technical books (KDP)</w:t>
            </w:r>
          </w:p>
          <w:p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 xml:space="preserve">Fully KYC-verified  |  Public identity</w:t>
            </w:r>
          </w:p>
          <w:p>
            <w:pPr>
              <w:pStyle w:val="Heading2"/>
              <w:spacing w:before="180"/>
            </w:pPr>
            <w:r>
              <w:rPr>
                <w:b/>
                <w:bCs/>
              </w:rPr>
              <w:t xml:space="preserve">USE OF IKO PROCEEDS</w:t>
            </w:r>
          </w:p>
          <w:tbl>
            <w:tblPr>
              <w:tblW w:type="dxa" w:w="49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1740"/>
            </w:tblGrid>
            <w:tr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 w:val="false"/>
                      <w:bCs w:val="false"/>
                      <w:color w:val="2D3436"/>
                      <w:sz w:val="16"/>
                      <w:szCs w:val="16"/>
                    </w:rPr>
                    <w:t xml:space="preserve">DEX Liquidity (locked)</w:t>
                  </w:r>
                </w:p>
              </w:tc>
              <w:tc>
                <w:tcPr>
                  <w:tcW w:type="dxa" w:w="17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/>
                      <w:bCs/>
                      <w:color w:val="2D3436"/>
                      <w:sz w:val="16"/>
                      <w:szCs w:val="16"/>
                    </w:rPr>
                    <w:t xml:space="preserve">40%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 w:val="false"/>
                      <w:bCs w:val="false"/>
                      <w:color w:val="2D3436"/>
                      <w:sz w:val="16"/>
                      <w:szCs w:val="16"/>
                    </w:rPr>
                    <w:t xml:space="preserve">Audits (wrapper + protocol)</w:t>
                  </w:r>
                </w:p>
              </w:tc>
              <w:tc>
                <w:tcPr>
                  <w:tcW w:type="dxa" w:w="17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/>
                      <w:bCs/>
                      <w:color w:val="2D3436"/>
                      <w:sz w:val="16"/>
                      <w:szCs w:val="16"/>
                    </w:rPr>
                    <w:t xml:space="preserve">20%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 w:val="false"/>
                      <w:bCs w:val="false"/>
                      <w:color w:val="2D3436"/>
                      <w:sz w:val="16"/>
                      <w:szCs w:val="16"/>
                    </w:rPr>
                    <w:t xml:space="preserve">Engineering Hires</w:t>
                  </w:r>
                </w:p>
              </w:tc>
              <w:tc>
                <w:tcPr>
                  <w:tcW w:type="dxa" w:w="17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/>
                      <w:bCs/>
                      <w:color w:val="2D3436"/>
                      <w:sz w:val="16"/>
                      <w:szCs w:val="16"/>
                    </w:rPr>
                    <w:t xml:space="preserve">15%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 w:val="false"/>
                      <w:bCs w:val="false"/>
                      <w:color w:val="2D3436"/>
                      <w:sz w:val="16"/>
                      <w:szCs w:val="16"/>
                    </w:rPr>
                    <w:t xml:space="preserve">Infrastructure</w:t>
                  </w:r>
                </w:p>
              </w:tc>
              <w:tc>
                <w:tcPr>
                  <w:tcW w:type="dxa" w:w="17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/>
                      <w:bCs/>
                      <w:color w:val="2D3436"/>
                      <w:sz w:val="16"/>
                      <w:szCs w:val="16"/>
                    </w:rPr>
                    <w:t xml:space="preserve">10%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 w:val="false"/>
                      <w:bCs w:val="false"/>
                      <w:color w:val="2D3436"/>
                      <w:sz w:val="16"/>
                      <w:szCs w:val="16"/>
                    </w:rPr>
                    <w:t xml:space="preserve">CEX Listings</w:t>
                  </w:r>
                </w:p>
              </w:tc>
              <w:tc>
                <w:tcPr>
                  <w:tcW w:type="dxa" w:w="17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/>
                      <w:bCs/>
                      <w:color w:val="2D3436"/>
                      <w:sz w:val="16"/>
                      <w:szCs w:val="16"/>
                    </w:rPr>
                    <w:t xml:space="preserve">10%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 w:val="false"/>
                      <w:bCs w:val="false"/>
                      <w:color w:val="2D3436"/>
                      <w:sz w:val="16"/>
                      <w:szCs w:val="16"/>
                    </w:rPr>
                    <w:t xml:space="preserve">Legal &amp; Compliance</w:t>
                  </w:r>
                </w:p>
              </w:tc>
              <w:tc>
                <w:tcPr>
                  <w:tcW w:type="dxa" w:w="17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/>
                      <w:bCs/>
                      <w:color w:val="2D3436"/>
                      <w:sz w:val="16"/>
                      <w:szCs w:val="16"/>
                    </w:rPr>
                    <w:t xml:space="preserve">5%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sz="0"/>
              <w:left w:val="none" w:sz="0"/>
              <w:bottom w:val="none" w:sz="0"/>
              <w:right w:val="none" w:sz="0"/>
            </w:tcBorders>
            <w:shd w:fill="F0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A1A2E"/>
                <w:sz w:val="16"/>
                <w:szCs w:val="16"/>
              </w:rPr>
              <w:t xml:space="preserve">Self-funded development  •  Working testnet (not whitepaper)  •  IKO is FIRST raise  •  Zero prior investors  •  Build first, fund second</w:t>
            </w:r>
          </w:p>
        </w:tc>
      </w:tr>
    </w:tbl>
    <w:p>
      <w:pPr>
        <w:spacing w:before="80"/>
        <w:jc w:val="center"/>
      </w:pPr>
      <w:r>
        <w:rPr>
          <w:i/>
          <w:iCs/>
          <w:color w:val="636E72"/>
          <w:sz w:val="14"/>
          <w:szCs w:val="14"/>
        </w:rPr>
        <w:t xml:space="preserve">CONFIDENTIAL — Prepared for Kommunitas IKO Evaluation  |  February 2026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80" w:after="8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40" w:after="60"/>
      <w:outlineLvl w:val="1"/>
    </w:pPr>
    <w:rPr>
      <w:rFonts w:ascii="Arial" w:cs="Arial" w:eastAsia="Arial" w:hAnsi="Arial"/>
      <w:b/>
      <w:bCs/>
      <w:color w:val="1669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2026-02-11T23:24:50.027Z</dcterms:created>
  <dcterms:modified xsi:type="dcterms:W3CDTF">2026-02-11T23:24:50.028Z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