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60"/>
        <w:jc w:val="center"/>
      </w:pPr>
      <w:r>
        <w:rPr>
          <w:b/>
          <w:bCs/>
          <w:color w:val="1A1A2E"/>
          <w:sz w:val="44"/>
          <w:szCs w:val="44"/>
        </w:rPr>
        <w:t xml:space="preserve">MONDOSHAWAN PROTOCOL</w:t>
      </w:r>
    </w:p>
    <w:p>
      <w:pPr>
        <w:spacing w:after="40"/>
        <w:jc w:val="center"/>
      </w:pPr>
      <w:r>
        <w:rPr>
          <w:b/>
          <w:bCs/>
          <w:color w:val="16697A"/>
          <w:spacing w:val="200"/>
          <w:sz w:val="34"/>
          <w:szCs w:val="34"/>
        </w:rPr>
        <w:t xml:space="preserve">TECHNICAL OVERVIEW</w:t>
      </w:r>
    </w:p>
    <w:p>
      <w:pPr>
        <w:spacing w:after="200"/>
        <w:jc w:val="center"/>
      </w:pPr>
      <w:r>
        <w:rPr>
          <w:color w:val="636E72"/>
          <w:sz w:val="22"/>
          <w:szCs w:val="22"/>
        </w:rPr>
        <w:t xml:space="preserve">Post-Quantum Layer 1 Blockchain Architecture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6000"/>
            <w:tcBorders>
              <w:top w:val="none" w:sz="0"/>
              <w:left w:val="none" w:sz="0"/>
              <w:bottom w:val="none" w:sz="0"/>
              <w:right w:val="none" w:sz="0"/>
            </w:tcBorders>
            <w:shd w:fill="F0F3F5" w:val="clear"/>
            <w:tcMar>
              <w:top w:type="dxa" w:w="80"/>
              <w:left w:type="dxa" w:w="200"/>
              <w:bottom w:type="dxa" w:w="80"/>
              <w:right w:type="dxa" w:w="200"/>
            </w:tcMar>
          </w:tcPr>
          <w:p>
            <w:pPr>
              <w:spacing w:after="20"/>
              <w:jc w:val="center"/>
            </w:pPr>
            <w:r>
              <w:rPr>
                <w:color w:val="636E72"/>
                <w:sz w:val="18"/>
                <w:szCs w:val="18"/>
              </w:rPr>
              <w:t xml:space="preserve">Version 1.0  |  February 2026</w:t>
            </w:r>
          </w:p>
          <w:p>
            <w:pPr>
              <w:spacing w:after="20"/>
              <w:jc w:val="center"/>
            </w:pPr>
            <w:r>
              <w:rPr>
                <w:color w:val="636E72"/>
                <w:sz w:val="18"/>
                <w:szCs w:val="18"/>
              </w:rPr>
              <w:t xml:space="preserve">Author: David Cooper  |  CCIE #14019</w:t>
            </w:r>
          </w:p>
          <w:p>
            <w:pPr>
              <w:spacing w:after="0"/>
              <w:jc w:val="center"/>
            </w:pPr>
            <w:r>
              <w:rPr>
                <w:i/>
                <w:iCs/>
                <w:color w:val="636E72"/>
                <w:sz w:val="18"/>
                <w:szCs w:val="18"/>
              </w:rPr>
              <w:t xml:space="preserve">Prepared for Kommunitas IKO Evaluation</w:t>
            </w:r>
          </w:p>
        </w:tc>
      </w:tr>
    </w:tbl>
    <w:p>
      <w:r>
        <w:r>
          <w:br w:type="page"/>
        </w:r>
      </w:r>
    </w:p>
    <w:p>
      <w:pPr>
        <w:pStyle w:val="Heading1"/>
        <w:pBdr>
          <w:bottom w:val="single" w:color="16697A" w:sz="2"/>
        </w:pBdr>
        <w:spacing w:before="360" w:after="160"/>
      </w:pPr>
      <w:r>
        <w:rPr>
          <w:b/>
          <w:bCs/>
          <w:color w:val="16697A"/>
        </w:rPr>
        <w:t xml:space="preserve">1. </w:t>
      </w:r>
      <w:r>
        <w:rPr>
          <w:b/>
          <w:bCs/>
        </w:rPr>
        <w:t xml:space="preserve">EXECUTIVE SUMMARY</w:t>
      </w:r>
    </w:p>
    <w:p>
      <w:pPr>
        <w:spacing w:after="100"/>
      </w:pPr>
      <w:r>
        <w:rPr>
          <w:sz w:val="20"/>
          <w:szCs w:val="20"/>
        </w:rPr>
        <w:t xml:space="preserve">Mondoshawan Protocol is a Layer 1 blockchain designed from the ground up to resist quantum computing attacks. While every major blockchain — Bitcoin, Ethereum, Solana, Cardano — relies on elliptic curve cryptography that quantum computers will eventually break, Mondoshawan implements NIST-standardized post-quantum signatures natively, eliminating the need for future migration.</w:t>
      </w:r>
    </w:p>
    <w:p>
      <w:pPr>
        <w:spacing w:after="100"/>
      </w:pPr>
      <w:r>
        <w:rPr>
          <w:sz w:val="20"/>
          <w:szCs w:val="20"/>
        </w:rPr>
        <w:t xml:space="preserve">The protocol combines three innovations into a single architecture: GhostDAG consensus for high throughput with full security, TriStream mining for decentralized and diverse hardware participation, and full EVM compatibility so existing Ethereum developers can deploy without modification.</w:t>
      </w:r>
    </w:p>
    <w:p>
      <w:pPr>
        <w:spacing w:after="100"/>
      </w:pPr>
      <w:r>
        <w:rPr>
          <w:sz w:val="20"/>
          <w:szCs w:val="20"/>
        </w:rPr>
        <w:t xml:space="preserve">The entire protocol is written in Rust, open-source under MIT license, and currently running on a live testnet. This is not a whitepaper project — it is working software seeking funding to reach mainnet.</w:t>
      </w:r>
    </w:p>
    <w:p>
      <w:pPr>
        <w:pStyle w:val="Heading1"/>
        <w:pBdr>
          <w:bottom w:val="single" w:color="16697A" w:sz="2"/>
        </w:pBdr>
        <w:spacing w:before="360" w:after="160"/>
      </w:pPr>
      <w:r>
        <w:rPr>
          <w:b/>
          <w:bCs/>
          <w:color w:val="16697A"/>
        </w:rPr>
        <w:t xml:space="preserve">2. </w:t>
      </w:r>
      <w:r>
        <w:rPr>
          <w:b/>
          <w:bCs/>
        </w:rPr>
        <w:t xml:space="preserve">THE QUANTUM THREAT</w:t>
      </w:r>
    </w:p>
    <w:p>
      <w:pPr>
        <w:spacing w:after="100"/>
      </w:pPr>
      <w:r>
        <w:rPr>
          <w:sz w:val="20"/>
          <w:szCs w:val="20"/>
        </w:rPr>
        <w:t xml:space="preserve">In August 2024, NIST finalized three post-quantum cryptographic standards: ML-KEM (key encapsulation), ML-DSA (digital signatures, formerly Dilithium), and SLH-DSA (stateless hash-based signatures). This marked the end of a decade-long standardization process and the beginning of the post-quantum migration era.</w:t>
      </w:r>
    </w:p>
    <w:p>
      <w:pPr>
        <w:pStyle w:val="Heading2"/>
        <w:spacing w:before="240" w:after="100"/>
      </w:pPr>
      <w:r>
        <w:rPr>
          <w:b/>
          <w:bCs/>
        </w:rPr>
        <w:t xml:space="preserve">Why Blockchains Are Vulnerable</w:t>
      </w:r>
    </w:p>
    <w:p>
      <w:pPr>
        <w:spacing w:after="100"/>
      </w:pPr>
      <w:r>
        <w:rPr>
          <w:sz w:val="20"/>
          <w:szCs w:val="20"/>
        </w:rPr>
        <w:t xml:space="preserve">Every blockchain transaction relies on digital signatures derived from elliptic curve cryptography (ECDSA or EdDSA). A sufficiently powerful quantum computer running Shor’s algorithm can derive private keys from public keys, enabling an attacker to forge signatures and steal funds from any exposed address.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none" w:sz="0"/>
              <w:left w:val="single" w:color="16697A" w:sz="8"/>
              <w:bottom w:val="none" w:sz="0"/>
              <w:right w:val="none" w:sz="0"/>
            </w:tcBorders>
            <w:shd w:fill="FFF8E1" w:val="clear"/>
            <w:tcMar>
              <w:top w:type="dxa" w:w="80"/>
              <w:left w:type="dxa" w:w="200"/>
              <w:bottom w:type="dxa" w:w="80"/>
              <w:right w:type="dxa" w:w="120"/>
            </w:tcMar>
          </w:tcPr>
          <w:p>
            <w:pPr>
              <w:spacing w:after="0"/>
            </w:pPr>
            <w:r>
              <w:rPr>
                <w:i/>
                <w:iCs/>
                <w:color w:val="2D3436"/>
                <w:sz w:val="19"/>
                <w:szCs w:val="19"/>
              </w:rPr>
              <w:t xml:space="preserve">"Harvest now, decrypt later" — Adversaries are already recording encrypted blockchain traffic today, planning to decrypt it when quantum computers arrive. Addresses that have ever transacted have exposed their public keys and are permanently vulnerable.</w:t>
            </w:r>
          </w:p>
        </w:tc>
      </w:tr>
    </w:tbl>
    <w:p>
      <w:pPr>
        <w:pStyle w:val="Heading2"/>
        <w:spacing w:before="240" w:after="100"/>
      </w:pPr>
      <w:r>
        <w:rPr>
          <w:b/>
          <w:bCs/>
        </w:rPr>
        <w:t xml:space="preserve">Industry Response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780"/>
        <w:gridCol w:w="3780"/>
      </w:tblGrid>
      <w:tr>
        <w:tc>
          <w:tcPr>
            <w:tcW w:type="dxa" w:w="2520"/>
            <w:gridSpan w:val="1"/>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spacing w:before="20" w:after="20"/>
              <w:jc w:val="left"/>
            </w:pPr>
            <w:r>
              <w:rPr>
                <w:b/>
                <w:bCs/>
                <w:color w:val="FFFFFF"/>
                <w:sz w:val="18"/>
                <w:szCs w:val="18"/>
              </w:rPr>
              <w:t xml:space="preserve">Project</w:t>
            </w:r>
          </w:p>
        </w:tc>
        <w:tc>
          <w:tcPr>
            <w:tcW w:type="dxa" w:w="3780"/>
            <w:gridSpan w:val="1"/>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spacing w:before="20" w:after="20"/>
              <w:jc w:val="left"/>
            </w:pPr>
            <w:r>
              <w:rPr>
                <w:b/>
                <w:bCs/>
                <w:color w:val="FFFFFF"/>
                <w:sz w:val="18"/>
                <w:szCs w:val="18"/>
              </w:rPr>
              <w:t xml:space="preserve">Current Cryptography</w:t>
            </w:r>
          </w:p>
        </w:tc>
        <w:tc>
          <w:tcPr>
            <w:tcW w:type="dxa" w:w="3780"/>
            <w:gridSpan w:val="1"/>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spacing w:before="20" w:after="20"/>
              <w:jc w:val="left"/>
            </w:pPr>
            <w:r>
              <w:rPr>
                <w:b/>
                <w:bCs/>
                <w:color w:val="FFFFFF"/>
                <w:sz w:val="18"/>
                <w:szCs w:val="18"/>
              </w:rPr>
              <w:t xml:space="preserve">PQ Migration Status</w:t>
            </w:r>
          </w:p>
        </w:tc>
      </w:tr>
      <w:tr>
        <w:tc>
          <w:tcPr>
            <w:tcW w:type="dxa" w:w="2520"/>
            <w:gridSpan w:val="1"/>
            <w:tcBorders>
              <w:top w:val="single" w:color="CCCCCC" w:sz="1"/>
              <w:left w:val="single" w:color="CCCCCC" w:sz="1"/>
              <w:bottom w:val="single" w:color="CCCCCC" w:sz="1"/>
              <w:right w:val="single" w:color="CCCCCC" w:sz="1"/>
            </w:tcBorders>
            <w:shd w:fill="F0F3F5" w:val="clear"/>
            <w:tcMar>
              <w:top w:type="dxa" w:w="60"/>
              <w:left w:type="dxa" w:w="100"/>
              <w:bottom w:type="dxa" w:w="60"/>
              <w:right w:type="dxa" w:w="100"/>
            </w:tcMar>
            <w:vAlign w:val="center"/>
          </w:tcPr>
          <w:p>
            <w:pPr>
              <w:spacing w:before="20" w:after="20"/>
              <w:jc w:val="left"/>
            </w:pPr>
            <w:r>
              <w:rPr>
                <w:b/>
                <w:bCs/>
                <w:color w:val="2D3436"/>
                <w:sz w:val="17"/>
                <w:szCs w:val="17"/>
              </w:rPr>
              <w:t xml:space="preserve">Bitcoin</w:t>
            </w:r>
          </w:p>
        </w:tc>
        <w:tc>
          <w:tcPr>
            <w:tcW w:type="dxa" w:w="3780"/>
            <w:gridSpan w:val="1"/>
            <w:tcBorders>
              <w:top w:val="single" w:color="CCCCCC" w:sz="1"/>
              <w:left w:val="single" w:color="CCCCCC" w:sz="1"/>
              <w:bottom w:val="single" w:color="CCCCCC" w:sz="1"/>
              <w:right w:val="single" w:color="CCCCCC" w:sz="1"/>
            </w:tcBorders>
            <w:shd w:fill="F0F3F5" w:val="clear"/>
            <w:tcMar>
              <w:top w:type="dxa" w:w="60"/>
              <w:left w:type="dxa" w:w="100"/>
              <w:bottom w:type="dxa" w:w="60"/>
              <w:right w:type="dxa" w:w="100"/>
            </w:tcMar>
            <w:vAlign w:val="center"/>
          </w:tcPr>
          <w:p>
            <w:pPr>
              <w:spacing w:before="20" w:after="20"/>
              <w:jc w:val="left"/>
            </w:pPr>
            <w:r>
              <w:rPr>
                <w:b w:val="false"/>
                <w:bCs w:val="false"/>
                <w:color w:val="2D3436"/>
                <w:sz w:val="17"/>
                <w:szCs w:val="17"/>
              </w:rPr>
              <w:t xml:space="preserve">ECDSA (secp256k1)</w:t>
            </w:r>
          </w:p>
        </w:tc>
        <w:tc>
          <w:tcPr>
            <w:tcW w:type="dxa" w:w="3780"/>
            <w:gridSpan w:val="1"/>
            <w:tcBorders>
              <w:top w:val="single" w:color="CCCCCC" w:sz="1"/>
              <w:left w:val="single" w:color="CCCCCC" w:sz="1"/>
              <w:bottom w:val="single" w:color="CCCCCC" w:sz="1"/>
              <w:right w:val="single" w:color="CCCCCC" w:sz="1"/>
            </w:tcBorders>
            <w:shd w:fill="F0F3F5" w:val="clear"/>
            <w:tcMar>
              <w:top w:type="dxa" w:w="60"/>
              <w:left w:type="dxa" w:w="100"/>
              <w:bottom w:type="dxa" w:w="60"/>
              <w:right w:type="dxa" w:w="100"/>
            </w:tcMar>
            <w:vAlign w:val="center"/>
          </w:tcPr>
          <w:p>
            <w:pPr>
              <w:spacing w:before="20" w:after="20"/>
              <w:jc w:val="left"/>
            </w:pPr>
            <w:r>
              <w:rPr>
                <w:b w:val="false"/>
                <w:bCs w:val="false"/>
                <w:color w:val="2D3436"/>
                <w:sz w:val="17"/>
                <w:szCs w:val="17"/>
              </w:rPr>
              <w:t xml:space="preserve">No official plan; community proposals only</w:t>
            </w:r>
          </w:p>
        </w:tc>
      </w:tr>
      <w:tr>
        <w:tc>
          <w:tcPr>
            <w:tcW w:type="dxa" w:w="252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20" w:after="20"/>
              <w:jc w:val="left"/>
            </w:pPr>
            <w:r>
              <w:rPr>
                <w:b/>
                <w:bCs/>
                <w:color w:val="2D3436"/>
                <w:sz w:val="17"/>
                <w:szCs w:val="17"/>
              </w:rPr>
              <w:t xml:space="preserve">Ethereum</w:t>
            </w:r>
          </w:p>
        </w:tc>
        <w:tc>
          <w:tcPr>
            <w:tcW w:type="dxa" w:w="37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20" w:after="20"/>
              <w:jc w:val="left"/>
            </w:pPr>
            <w:r>
              <w:rPr>
                <w:b w:val="false"/>
                <w:bCs w:val="false"/>
                <w:color w:val="2D3436"/>
                <w:sz w:val="17"/>
                <w:szCs w:val="17"/>
              </w:rPr>
              <w:t xml:space="preserve">ECDSA (secp256k1)</w:t>
            </w:r>
          </w:p>
        </w:tc>
        <w:tc>
          <w:tcPr>
            <w:tcW w:type="dxa" w:w="37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20" w:after="20"/>
              <w:jc w:val="left"/>
            </w:pPr>
            <w:r>
              <w:rPr>
                <w:b w:val="false"/>
                <w:bCs w:val="false"/>
                <w:color w:val="2D3436"/>
                <w:sz w:val="17"/>
                <w:szCs w:val="17"/>
              </w:rPr>
              <w:t xml:space="preserve">EIP-7702 account abstraction path; years away</w:t>
            </w:r>
          </w:p>
        </w:tc>
      </w:tr>
      <w:tr>
        <w:tc>
          <w:tcPr>
            <w:tcW w:type="dxa" w:w="2520"/>
            <w:gridSpan w:val="1"/>
            <w:tcBorders>
              <w:top w:val="single" w:color="CCCCCC" w:sz="1"/>
              <w:left w:val="single" w:color="CCCCCC" w:sz="1"/>
              <w:bottom w:val="single" w:color="CCCCCC" w:sz="1"/>
              <w:right w:val="single" w:color="CCCCCC" w:sz="1"/>
            </w:tcBorders>
            <w:shd w:fill="F0F3F5" w:val="clear"/>
            <w:tcMar>
              <w:top w:type="dxa" w:w="60"/>
              <w:left w:type="dxa" w:w="100"/>
              <w:bottom w:type="dxa" w:w="60"/>
              <w:right w:type="dxa" w:w="100"/>
            </w:tcMar>
            <w:vAlign w:val="center"/>
          </w:tcPr>
          <w:p>
            <w:pPr>
              <w:spacing w:before="20" w:after="20"/>
              <w:jc w:val="left"/>
            </w:pPr>
            <w:r>
              <w:rPr>
                <w:b/>
                <w:bCs/>
                <w:color w:val="2D3436"/>
                <w:sz w:val="17"/>
                <w:szCs w:val="17"/>
              </w:rPr>
              <w:t xml:space="preserve">Solana</w:t>
            </w:r>
          </w:p>
        </w:tc>
        <w:tc>
          <w:tcPr>
            <w:tcW w:type="dxa" w:w="3780"/>
            <w:gridSpan w:val="1"/>
            <w:tcBorders>
              <w:top w:val="single" w:color="CCCCCC" w:sz="1"/>
              <w:left w:val="single" w:color="CCCCCC" w:sz="1"/>
              <w:bottom w:val="single" w:color="CCCCCC" w:sz="1"/>
              <w:right w:val="single" w:color="CCCCCC" w:sz="1"/>
            </w:tcBorders>
            <w:shd w:fill="F0F3F5" w:val="clear"/>
            <w:tcMar>
              <w:top w:type="dxa" w:w="60"/>
              <w:left w:type="dxa" w:w="100"/>
              <w:bottom w:type="dxa" w:w="60"/>
              <w:right w:type="dxa" w:w="100"/>
            </w:tcMar>
            <w:vAlign w:val="center"/>
          </w:tcPr>
          <w:p>
            <w:pPr>
              <w:spacing w:before="20" w:after="20"/>
              <w:jc w:val="left"/>
            </w:pPr>
            <w:r>
              <w:rPr>
                <w:b w:val="false"/>
                <w:bCs w:val="false"/>
                <w:color w:val="2D3436"/>
                <w:sz w:val="17"/>
                <w:szCs w:val="17"/>
              </w:rPr>
              <w:t xml:space="preserve">EdDSA (Ed25519)</w:t>
            </w:r>
          </w:p>
        </w:tc>
        <w:tc>
          <w:tcPr>
            <w:tcW w:type="dxa" w:w="3780"/>
            <w:gridSpan w:val="1"/>
            <w:tcBorders>
              <w:top w:val="single" w:color="CCCCCC" w:sz="1"/>
              <w:left w:val="single" w:color="CCCCCC" w:sz="1"/>
              <w:bottom w:val="single" w:color="CCCCCC" w:sz="1"/>
              <w:right w:val="single" w:color="CCCCCC" w:sz="1"/>
            </w:tcBorders>
            <w:shd w:fill="F0F3F5" w:val="clear"/>
            <w:tcMar>
              <w:top w:type="dxa" w:w="60"/>
              <w:left w:type="dxa" w:w="100"/>
              <w:bottom w:type="dxa" w:w="60"/>
              <w:right w:type="dxa" w:w="100"/>
            </w:tcMar>
            <w:vAlign w:val="center"/>
          </w:tcPr>
          <w:p>
            <w:pPr>
              <w:spacing w:before="20" w:after="20"/>
              <w:jc w:val="left"/>
            </w:pPr>
            <w:r>
              <w:rPr>
                <w:b w:val="false"/>
                <w:bCs w:val="false"/>
                <w:color w:val="2D3436"/>
                <w:sz w:val="17"/>
                <w:szCs w:val="17"/>
              </w:rPr>
              <w:t xml:space="preserve">Announced Winternitz vault (2025); per-address opt-in</w:t>
            </w:r>
          </w:p>
        </w:tc>
      </w:tr>
      <w:tr>
        <w:tc>
          <w:tcPr>
            <w:tcW w:type="dxa" w:w="252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20" w:after="20"/>
              <w:jc w:val="left"/>
            </w:pPr>
            <w:r>
              <w:rPr>
                <w:b/>
                <w:bCs/>
                <w:color w:val="2D3436"/>
                <w:sz w:val="17"/>
                <w:szCs w:val="17"/>
              </w:rPr>
              <w:t xml:space="preserve">Cardano</w:t>
            </w:r>
          </w:p>
        </w:tc>
        <w:tc>
          <w:tcPr>
            <w:tcW w:type="dxa" w:w="37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20" w:after="20"/>
              <w:jc w:val="left"/>
            </w:pPr>
            <w:r>
              <w:rPr>
                <w:b w:val="false"/>
                <w:bCs w:val="false"/>
                <w:color w:val="2D3436"/>
                <w:sz w:val="17"/>
                <w:szCs w:val="17"/>
              </w:rPr>
              <w:t xml:space="preserve">EdDSA (Ed25519)</w:t>
            </w:r>
          </w:p>
        </w:tc>
        <w:tc>
          <w:tcPr>
            <w:tcW w:type="dxa" w:w="37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20" w:after="20"/>
              <w:jc w:val="left"/>
            </w:pPr>
            <w:r>
              <w:rPr>
                <w:b w:val="false"/>
                <w:bCs w:val="false"/>
                <w:color w:val="2D3436"/>
                <w:sz w:val="17"/>
                <w:szCs w:val="17"/>
              </w:rPr>
              <w:t xml:space="preserve">Research phase; no implementation timeline</w:t>
            </w:r>
          </w:p>
        </w:tc>
      </w:tr>
      <w:tr>
        <w:tc>
          <w:tcPr>
            <w:tcW w:type="dxa" w:w="2520"/>
            <w:gridSpan w:val="1"/>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20" w:after="20"/>
              <w:jc w:val="left"/>
            </w:pPr>
            <w:r>
              <w:rPr>
                <w:b/>
                <w:bCs/>
                <w:color w:val="2D3436"/>
                <w:sz w:val="17"/>
                <w:szCs w:val="17"/>
              </w:rPr>
              <w:t xml:space="preserve">Mondoshawan</w:t>
            </w:r>
          </w:p>
        </w:tc>
        <w:tc>
          <w:tcPr>
            <w:tcW w:type="dxa" w:w="3780"/>
            <w:gridSpan w:val="1"/>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20" w:after="20"/>
              <w:jc w:val="left"/>
            </w:pPr>
            <w:r>
              <w:rPr>
                <w:b w:val="false"/>
                <w:bCs w:val="false"/>
                <w:color w:val="2D3436"/>
                <w:sz w:val="17"/>
                <w:szCs w:val="17"/>
              </w:rPr>
              <w:t xml:space="preserve">ML-DSA (Dilithium)</w:t>
            </w:r>
          </w:p>
        </w:tc>
        <w:tc>
          <w:tcPr>
            <w:tcW w:type="dxa" w:w="3780"/>
            <w:gridSpan w:val="1"/>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20" w:after="20"/>
              <w:jc w:val="left"/>
            </w:pPr>
            <w:r>
              <w:rPr>
                <w:b/>
                <w:bCs/>
                <w:color w:val="2D3436"/>
                <w:sz w:val="17"/>
                <w:szCs w:val="17"/>
              </w:rPr>
              <w:t xml:space="preserve">Native from genesis — no migration needed</w:t>
            </w:r>
          </w:p>
        </w:tc>
      </w:tr>
    </w:tbl>
    <w:p>
      <w:r>
        <w:r>
          <w:br w:type="page"/>
        </w:r>
      </w:r>
    </w:p>
    <w:p>
      <w:pPr>
        <w:pStyle w:val="Heading1"/>
        <w:pBdr>
          <w:bottom w:val="single" w:color="16697A" w:sz="2"/>
        </w:pBdr>
        <w:spacing w:before="360" w:after="160"/>
      </w:pPr>
      <w:r>
        <w:rPr>
          <w:b/>
          <w:bCs/>
          <w:color w:val="16697A"/>
        </w:rPr>
        <w:t xml:space="preserve">3. </w:t>
      </w:r>
      <w:r>
        <w:rPr>
          <w:b/>
          <w:bCs/>
        </w:rPr>
        <w:t xml:space="preserve">GHOSTDAG CONSENSUS</w:t>
      </w:r>
    </w:p>
    <w:p>
      <w:pPr>
        <w:spacing w:after="100"/>
      </w:pPr>
      <w:r>
        <w:rPr>
          <w:sz w:val="20"/>
          <w:szCs w:val="20"/>
        </w:rPr>
        <w:t xml:space="preserve">Mondoshawan uses GhostDAG (Greedy Heaviest-Observed Sub-Tree on a Directed Acyclic Graph), the same consensus mechanism that powers Kaspa — a protocol that reached over $4 billion market capitalization.</w:t>
      </w:r>
    </w:p>
    <w:p>
      <w:pPr>
        <w:pStyle w:val="Heading2"/>
        <w:spacing w:before="240" w:after="100"/>
      </w:pPr>
      <w:r>
        <w:rPr>
          <w:b/>
          <w:bCs/>
        </w:rPr>
        <w:t xml:space="preserve">How GhostDAG Works</w:t>
      </w:r>
    </w:p>
    <w:p>
      <w:pPr>
        <w:spacing w:after="100"/>
      </w:pPr>
      <w:r>
        <w:rPr>
          <w:sz w:val="20"/>
          <w:szCs w:val="20"/>
        </w:rPr>
        <w:t xml:space="preserve">Traditional blockchains produce one block at a time in a single chain. When two miners find blocks simultaneously, one block is orphaned and discarded. This wastes work, limits throughput, and forces long confirmation times.</w:t>
      </w:r>
    </w:p>
    <w:p>
      <w:pPr>
        <w:spacing w:after="100"/>
      </w:pPr>
      <w:r>
        <w:rPr>
          <w:sz w:val="20"/>
          <w:szCs w:val="20"/>
        </w:rPr>
        <w:t xml:space="preserve">GhostDAG allows multiple blocks to be produced simultaneously and incorporates all of them into the ledger. Instead of a chain, the structure is a DAG (Directed Acyclic Graph) where each block can reference multiple parent blocks. A deterministic ordering algorithm then sequences all blocks for transaction execution.</w:t>
      </w:r>
    </w:p>
    <w:p>
      <w:pPr>
        <w:pStyle w:val="Heading2"/>
        <w:spacing w:before="240" w:after="100"/>
      </w:pPr>
      <w:r>
        <w:rPr>
          <w:b/>
          <w:bCs/>
        </w:rPr>
        <w:t xml:space="preserve">Performance Characteristics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gridSpan w:val="1"/>
            <w:tcBorders>
              <w:top w:val="single" w:color="CCCCCC" w:sz="1"/>
              <w:left w:val="single" w:color="CCCCCC" w:sz="1"/>
              <w:bottom w:val="single" w:color="CCCCCC" w:sz="1"/>
              <w:right w:val="single" w:color="CCCCCC" w:sz="1"/>
            </w:tcBorders>
            <w:shd w:fill="16697A" w:val="clear"/>
            <w:tcMar>
              <w:top w:type="dxa" w:w="60"/>
              <w:left w:type="dxa" w:w="100"/>
              <w:bottom w:type="dxa" w:w="60"/>
              <w:right w:type="dxa" w:w="100"/>
            </w:tcMar>
            <w:vAlign w:val="center"/>
          </w:tcPr>
          <w:p>
            <w:pPr>
              <w:spacing w:before="20" w:after="20"/>
              <w:jc w:val="left"/>
            </w:pPr>
            <w:r>
              <w:rPr>
                <w:b/>
                <w:bCs/>
                <w:color w:val="FFFFFF"/>
                <w:sz w:val="18"/>
                <w:szCs w:val="18"/>
              </w:rPr>
              <w:t xml:space="preserve">Property</w:t>
            </w:r>
          </w:p>
        </w:tc>
        <w:tc>
          <w:tcPr>
            <w:tcW w:type="dxa" w:w="3360"/>
            <w:gridSpan w:val="1"/>
            <w:tcBorders>
              <w:top w:val="single" w:color="CCCCCC" w:sz="1"/>
              <w:left w:val="single" w:color="CCCCCC" w:sz="1"/>
              <w:bottom w:val="single" w:color="CCCCCC" w:sz="1"/>
              <w:right w:val="single" w:color="CCCCCC" w:sz="1"/>
            </w:tcBorders>
            <w:shd w:fill="16697A" w:val="clear"/>
            <w:tcMar>
              <w:top w:type="dxa" w:w="60"/>
              <w:left w:type="dxa" w:w="100"/>
              <w:bottom w:type="dxa" w:w="60"/>
              <w:right w:type="dxa" w:w="100"/>
            </w:tcMar>
            <w:vAlign w:val="center"/>
          </w:tcPr>
          <w:p>
            <w:pPr>
              <w:spacing w:before="20" w:after="20"/>
              <w:jc w:val="center"/>
            </w:pPr>
            <w:r>
              <w:rPr>
                <w:b/>
                <w:bCs/>
                <w:color w:val="FFFFFF"/>
                <w:sz w:val="18"/>
                <w:szCs w:val="18"/>
              </w:rPr>
              <w:t xml:space="preserve">Traditional Chain</w:t>
            </w:r>
          </w:p>
        </w:tc>
        <w:tc>
          <w:tcPr>
            <w:tcW w:type="dxa" w:w="3360"/>
            <w:gridSpan w:val="1"/>
            <w:tcBorders>
              <w:top w:val="single" w:color="CCCCCC" w:sz="1"/>
              <w:left w:val="single" w:color="CCCCCC" w:sz="1"/>
              <w:bottom w:val="single" w:color="CCCCCC" w:sz="1"/>
              <w:right w:val="single" w:color="CCCCCC" w:sz="1"/>
            </w:tcBorders>
            <w:shd w:fill="16697A" w:val="clear"/>
            <w:tcMar>
              <w:top w:type="dxa" w:w="60"/>
              <w:left w:type="dxa" w:w="100"/>
              <w:bottom w:type="dxa" w:w="60"/>
              <w:right w:type="dxa" w:w="100"/>
            </w:tcMar>
            <w:vAlign w:val="center"/>
          </w:tcPr>
          <w:p>
            <w:pPr>
              <w:spacing w:before="20" w:after="20"/>
              <w:jc w:val="center"/>
            </w:pPr>
            <w:r>
              <w:rPr>
                <w:b/>
                <w:bCs/>
                <w:color w:val="FFFFFF"/>
                <w:sz w:val="18"/>
                <w:szCs w:val="18"/>
              </w:rPr>
              <w:t xml:space="preserve">GhostDAG (Mondoshawan)</w:t>
            </w:r>
          </w:p>
        </w:tc>
      </w:tr>
      <w:tr>
        <w:tc>
          <w:tcPr>
            <w:tcW w:type="dxa" w:w="3360"/>
            <w:gridSpan w:val="1"/>
            <w:tcBorders>
              <w:top w:val="single" w:color="CCCCCC" w:sz="1"/>
              <w:left w:val="single" w:color="CCCCCC" w:sz="1"/>
              <w:bottom w:val="single" w:color="CCCCCC" w:sz="1"/>
              <w:right w:val="single" w:color="CCCCCC" w:sz="1"/>
            </w:tcBorders>
            <w:shd w:fill="F0F3F5" w:val="clear"/>
            <w:tcMar>
              <w:top w:type="dxa" w:w="60"/>
              <w:left w:type="dxa" w:w="100"/>
              <w:bottom w:type="dxa" w:w="60"/>
              <w:right w:type="dxa" w:w="100"/>
            </w:tcMar>
            <w:vAlign w:val="center"/>
          </w:tcPr>
          <w:p>
            <w:pPr>
              <w:spacing w:before="20" w:after="20"/>
              <w:jc w:val="left"/>
            </w:pPr>
            <w:r>
              <w:rPr>
                <w:b/>
                <w:bCs/>
                <w:color w:val="2D3436"/>
                <w:sz w:val="17"/>
                <w:szCs w:val="17"/>
              </w:rPr>
              <w:t xml:space="preserve">Block production</w:t>
            </w:r>
          </w:p>
        </w:tc>
        <w:tc>
          <w:tcPr>
            <w:tcW w:type="dxa" w:w="3360"/>
            <w:gridSpan w:val="1"/>
            <w:tcBorders>
              <w:top w:val="single" w:color="CCCCCC" w:sz="1"/>
              <w:left w:val="single" w:color="CCCCCC" w:sz="1"/>
              <w:bottom w:val="single" w:color="CCCCCC" w:sz="1"/>
              <w:right w:val="single" w:color="CCCCCC" w:sz="1"/>
            </w:tcBorders>
            <w:shd w:fill="F0F3F5" w:val="clear"/>
            <w:tcMar>
              <w:top w:type="dxa" w:w="60"/>
              <w:left w:type="dxa" w:w="100"/>
              <w:bottom w:type="dxa" w:w="60"/>
              <w:right w:type="dxa" w:w="100"/>
            </w:tcMar>
            <w:vAlign w:val="center"/>
          </w:tcPr>
          <w:p>
            <w:pPr>
              <w:spacing w:before="20" w:after="20"/>
              <w:jc w:val="center"/>
            </w:pPr>
            <w:r>
              <w:rPr>
                <w:b w:val="false"/>
                <w:bCs w:val="false"/>
                <w:color w:val="2D3436"/>
                <w:sz w:val="17"/>
                <w:szCs w:val="17"/>
              </w:rPr>
              <w:t xml:space="preserve">Single chain, sequential</w:t>
            </w:r>
          </w:p>
        </w:tc>
        <w:tc>
          <w:tcPr>
            <w:tcW w:type="dxa" w:w="3360"/>
            <w:gridSpan w:val="1"/>
            <w:tcBorders>
              <w:top w:val="single" w:color="CCCCCC" w:sz="1"/>
              <w:left w:val="single" w:color="CCCCCC" w:sz="1"/>
              <w:bottom w:val="single" w:color="CCCCCC" w:sz="1"/>
              <w:right w:val="single" w:color="CCCCCC" w:sz="1"/>
            </w:tcBorders>
            <w:shd w:fill="F0F3F5" w:val="clear"/>
            <w:tcMar>
              <w:top w:type="dxa" w:w="60"/>
              <w:left w:type="dxa" w:w="100"/>
              <w:bottom w:type="dxa" w:w="60"/>
              <w:right w:type="dxa" w:w="100"/>
            </w:tcMar>
            <w:vAlign w:val="center"/>
          </w:tcPr>
          <w:p>
            <w:pPr>
              <w:spacing w:before="20" w:after="20"/>
              <w:jc w:val="center"/>
            </w:pPr>
            <w:r>
              <w:rPr>
                <w:b/>
                <w:bCs/>
                <w:color w:val="2D3436"/>
                <w:sz w:val="17"/>
                <w:szCs w:val="17"/>
              </w:rPr>
              <w:t xml:space="preserve">Parallel, multiple blocks/second</w:t>
            </w:r>
          </w:p>
        </w:tc>
      </w:tr>
      <w:tr>
        <w:tc>
          <w:tcPr>
            <w:tcW w:type="dxa" w:w="33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20" w:after="20"/>
              <w:jc w:val="left"/>
            </w:pPr>
            <w:r>
              <w:rPr>
                <w:b/>
                <w:bCs/>
                <w:color w:val="2D3436"/>
                <w:sz w:val="17"/>
                <w:szCs w:val="17"/>
              </w:rPr>
              <w:t xml:space="preserve">Orphan blocks</w:t>
            </w:r>
          </w:p>
        </w:tc>
        <w:tc>
          <w:tcPr>
            <w:tcW w:type="dxa" w:w="33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20" w:after="20"/>
              <w:jc w:val="center"/>
            </w:pPr>
            <w:r>
              <w:rPr>
                <w:b w:val="false"/>
                <w:bCs w:val="false"/>
                <w:color w:val="2D3436"/>
                <w:sz w:val="17"/>
                <w:szCs w:val="17"/>
              </w:rPr>
              <w:t xml:space="preserve">Discarded (wasted energy)</w:t>
            </w:r>
          </w:p>
        </w:tc>
        <w:tc>
          <w:tcPr>
            <w:tcW w:type="dxa" w:w="33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20" w:after="20"/>
              <w:jc w:val="center"/>
            </w:pPr>
            <w:r>
              <w:rPr>
                <w:b/>
                <w:bCs/>
                <w:color w:val="2D3436"/>
                <w:sz w:val="17"/>
                <w:szCs w:val="17"/>
              </w:rPr>
              <w:t xml:space="preserve">Incorporated into DAG</w:t>
            </w:r>
          </w:p>
        </w:tc>
      </w:tr>
      <w:tr>
        <w:tc>
          <w:tcPr>
            <w:tcW w:type="dxa" w:w="3360"/>
            <w:gridSpan w:val="1"/>
            <w:tcBorders>
              <w:top w:val="single" w:color="CCCCCC" w:sz="1"/>
              <w:left w:val="single" w:color="CCCCCC" w:sz="1"/>
              <w:bottom w:val="single" w:color="CCCCCC" w:sz="1"/>
              <w:right w:val="single" w:color="CCCCCC" w:sz="1"/>
            </w:tcBorders>
            <w:shd w:fill="F0F3F5" w:val="clear"/>
            <w:tcMar>
              <w:top w:type="dxa" w:w="60"/>
              <w:left w:type="dxa" w:w="100"/>
              <w:bottom w:type="dxa" w:w="60"/>
              <w:right w:type="dxa" w:w="100"/>
            </w:tcMar>
            <w:vAlign w:val="center"/>
          </w:tcPr>
          <w:p>
            <w:pPr>
              <w:spacing w:before="20" w:after="20"/>
              <w:jc w:val="left"/>
            </w:pPr>
            <w:r>
              <w:rPr>
                <w:b/>
                <w:bCs/>
                <w:color w:val="2D3436"/>
                <w:sz w:val="17"/>
                <w:szCs w:val="17"/>
              </w:rPr>
              <w:t xml:space="preserve">Confirmation time</w:t>
            </w:r>
          </w:p>
        </w:tc>
        <w:tc>
          <w:tcPr>
            <w:tcW w:type="dxa" w:w="3360"/>
            <w:gridSpan w:val="1"/>
            <w:tcBorders>
              <w:top w:val="single" w:color="CCCCCC" w:sz="1"/>
              <w:left w:val="single" w:color="CCCCCC" w:sz="1"/>
              <w:bottom w:val="single" w:color="CCCCCC" w:sz="1"/>
              <w:right w:val="single" w:color="CCCCCC" w:sz="1"/>
            </w:tcBorders>
            <w:shd w:fill="F0F3F5" w:val="clear"/>
            <w:tcMar>
              <w:top w:type="dxa" w:w="60"/>
              <w:left w:type="dxa" w:w="100"/>
              <w:bottom w:type="dxa" w:w="60"/>
              <w:right w:type="dxa" w:w="100"/>
            </w:tcMar>
            <w:vAlign w:val="center"/>
          </w:tcPr>
          <w:p>
            <w:pPr>
              <w:spacing w:before="20" w:after="20"/>
              <w:jc w:val="center"/>
            </w:pPr>
            <w:r>
              <w:rPr>
                <w:b w:val="false"/>
                <w:bCs w:val="false"/>
                <w:color w:val="2D3436"/>
                <w:sz w:val="17"/>
                <w:szCs w:val="17"/>
              </w:rPr>
              <w:t xml:space="preserve">Minutes (Bitcoin: ~60 min)</w:t>
            </w:r>
          </w:p>
        </w:tc>
        <w:tc>
          <w:tcPr>
            <w:tcW w:type="dxa" w:w="3360"/>
            <w:gridSpan w:val="1"/>
            <w:tcBorders>
              <w:top w:val="single" w:color="CCCCCC" w:sz="1"/>
              <w:left w:val="single" w:color="CCCCCC" w:sz="1"/>
              <w:bottom w:val="single" w:color="CCCCCC" w:sz="1"/>
              <w:right w:val="single" w:color="CCCCCC" w:sz="1"/>
            </w:tcBorders>
            <w:shd w:fill="F0F3F5" w:val="clear"/>
            <w:tcMar>
              <w:top w:type="dxa" w:w="60"/>
              <w:left w:type="dxa" w:w="100"/>
              <w:bottom w:type="dxa" w:w="60"/>
              <w:right w:type="dxa" w:w="100"/>
            </w:tcMar>
            <w:vAlign w:val="center"/>
          </w:tcPr>
          <w:p>
            <w:pPr>
              <w:spacing w:before="20" w:after="20"/>
              <w:jc w:val="center"/>
            </w:pPr>
            <w:r>
              <w:rPr>
                <w:b/>
                <w:bCs/>
                <w:color w:val="2D3436"/>
                <w:sz w:val="17"/>
                <w:szCs w:val="17"/>
              </w:rPr>
              <w:t xml:space="preserve">Sub-second to seconds</w:t>
            </w:r>
          </w:p>
        </w:tc>
      </w:tr>
      <w:tr>
        <w:tc>
          <w:tcPr>
            <w:tcW w:type="dxa" w:w="33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20" w:after="20"/>
              <w:jc w:val="left"/>
            </w:pPr>
            <w:r>
              <w:rPr>
                <w:b/>
                <w:bCs/>
                <w:color w:val="2D3436"/>
                <w:sz w:val="17"/>
                <w:szCs w:val="17"/>
              </w:rPr>
              <w:t xml:space="preserve">Throughput</w:t>
            </w:r>
          </w:p>
        </w:tc>
        <w:tc>
          <w:tcPr>
            <w:tcW w:type="dxa" w:w="33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20" w:after="20"/>
              <w:jc w:val="center"/>
            </w:pPr>
            <w:r>
              <w:rPr>
                <w:b w:val="false"/>
                <w:bCs w:val="false"/>
                <w:color w:val="2D3436"/>
                <w:sz w:val="17"/>
                <w:szCs w:val="17"/>
              </w:rPr>
              <w:t xml:space="preserve">Limited by block interval</w:t>
            </w:r>
          </w:p>
        </w:tc>
        <w:tc>
          <w:tcPr>
            <w:tcW w:type="dxa" w:w="33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20" w:after="20"/>
              <w:jc w:val="center"/>
            </w:pPr>
            <w:r>
              <w:rPr>
                <w:b/>
                <w:bCs/>
                <w:color w:val="2D3436"/>
                <w:sz w:val="17"/>
                <w:szCs w:val="17"/>
              </w:rPr>
              <w:t xml:space="preserve">Scales with network participation</w:t>
            </w:r>
          </w:p>
        </w:tc>
      </w:tr>
      <w:tr>
        <w:tc>
          <w:tcPr>
            <w:tcW w:type="dxa" w:w="3360"/>
            <w:gridSpan w:val="1"/>
            <w:tcBorders>
              <w:top w:val="single" w:color="CCCCCC" w:sz="1"/>
              <w:left w:val="single" w:color="CCCCCC" w:sz="1"/>
              <w:bottom w:val="single" w:color="CCCCCC" w:sz="1"/>
              <w:right w:val="single" w:color="CCCCCC" w:sz="1"/>
            </w:tcBorders>
            <w:shd w:fill="F0F3F5" w:val="clear"/>
            <w:tcMar>
              <w:top w:type="dxa" w:w="60"/>
              <w:left w:type="dxa" w:w="100"/>
              <w:bottom w:type="dxa" w:w="60"/>
              <w:right w:type="dxa" w:w="100"/>
            </w:tcMar>
            <w:vAlign w:val="center"/>
          </w:tcPr>
          <w:p>
            <w:pPr>
              <w:spacing w:before="20" w:after="20"/>
              <w:jc w:val="left"/>
            </w:pPr>
            <w:r>
              <w:rPr>
                <w:b/>
                <w:bCs/>
                <w:color w:val="2D3436"/>
                <w:sz w:val="17"/>
                <w:szCs w:val="17"/>
              </w:rPr>
              <w:t xml:space="preserve">Security model</w:t>
            </w:r>
          </w:p>
        </w:tc>
        <w:tc>
          <w:tcPr>
            <w:tcW w:type="dxa" w:w="3360"/>
            <w:gridSpan w:val="1"/>
            <w:tcBorders>
              <w:top w:val="single" w:color="CCCCCC" w:sz="1"/>
              <w:left w:val="single" w:color="CCCCCC" w:sz="1"/>
              <w:bottom w:val="single" w:color="CCCCCC" w:sz="1"/>
              <w:right w:val="single" w:color="CCCCCC" w:sz="1"/>
            </w:tcBorders>
            <w:shd w:fill="F0F3F5" w:val="clear"/>
            <w:tcMar>
              <w:top w:type="dxa" w:w="60"/>
              <w:left w:type="dxa" w:w="100"/>
              <w:bottom w:type="dxa" w:w="60"/>
              <w:right w:type="dxa" w:w="100"/>
            </w:tcMar>
            <w:vAlign w:val="center"/>
          </w:tcPr>
          <w:p>
            <w:pPr>
              <w:spacing w:before="20" w:after="20"/>
              <w:jc w:val="center"/>
            </w:pPr>
            <w:r>
              <w:rPr>
                <w:b w:val="false"/>
                <w:bCs w:val="false"/>
                <w:color w:val="2D3436"/>
                <w:sz w:val="17"/>
                <w:szCs w:val="17"/>
              </w:rPr>
              <w:t xml:space="preserve">Longest chain wins</w:t>
            </w:r>
          </w:p>
        </w:tc>
        <w:tc>
          <w:tcPr>
            <w:tcW w:type="dxa" w:w="3360"/>
            <w:gridSpan w:val="1"/>
            <w:tcBorders>
              <w:top w:val="single" w:color="CCCCCC" w:sz="1"/>
              <w:left w:val="single" w:color="CCCCCC" w:sz="1"/>
              <w:bottom w:val="single" w:color="CCCCCC" w:sz="1"/>
              <w:right w:val="single" w:color="CCCCCC" w:sz="1"/>
            </w:tcBorders>
            <w:shd w:fill="F0F3F5" w:val="clear"/>
            <w:tcMar>
              <w:top w:type="dxa" w:w="60"/>
              <w:left w:type="dxa" w:w="100"/>
              <w:bottom w:type="dxa" w:w="60"/>
              <w:right w:type="dxa" w:w="100"/>
            </w:tcMar>
            <w:vAlign w:val="center"/>
          </w:tcPr>
          <w:p>
            <w:pPr>
              <w:spacing w:before="20" w:after="20"/>
              <w:jc w:val="center"/>
            </w:pPr>
            <w:r>
              <w:rPr>
                <w:b/>
                <w:bCs/>
                <w:color w:val="2D3436"/>
                <w:sz w:val="17"/>
                <w:szCs w:val="17"/>
              </w:rPr>
              <w:t xml:space="preserve">Heaviest DAG wins (stronger)</w:t>
            </w:r>
          </w:p>
        </w:tc>
      </w:tr>
      <w:tr>
        <w:tc>
          <w:tcPr>
            <w:tcW w:type="dxa" w:w="33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20" w:after="20"/>
              <w:jc w:val="left"/>
            </w:pPr>
            <w:r>
              <w:rPr>
                <w:b/>
                <w:bCs/>
                <w:color w:val="2D3436"/>
                <w:sz w:val="17"/>
                <w:szCs w:val="17"/>
              </w:rPr>
              <w:t xml:space="preserve">Miner fairness</w:t>
            </w:r>
          </w:p>
        </w:tc>
        <w:tc>
          <w:tcPr>
            <w:tcW w:type="dxa" w:w="33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20" w:after="20"/>
              <w:jc w:val="center"/>
            </w:pPr>
            <w:r>
              <w:rPr>
                <w:b w:val="false"/>
                <w:bCs w:val="false"/>
                <w:color w:val="2D3436"/>
                <w:sz w:val="17"/>
                <w:szCs w:val="17"/>
              </w:rPr>
              <w:t xml:space="preserve">Large pools dominate</w:t>
            </w:r>
          </w:p>
        </w:tc>
        <w:tc>
          <w:tcPr>
            <w:tcW w:type="dxa" w:w="33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20" w:after="20"/>
              <w:jc w:val="center"/>
            </w:pPr>
            <w:r>
              <w:rPr>
                <w:b/>
                <w:bCs/>
                <w:color w:val="2D3436"/>
                <w:sz w:val="17"/>
                <w:szCs w:val="17"/>
              </w:rPr>
              <w:t xml:space="preserve">Small miners contribute equally</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none" w:sz="0"/>
              <w:left w:val="single" w:color="16697A" w:sz="8"/>
              <w:bottom w:val="none" w:sz="0"/>
              <w:right w:val="none" w:sz="0"/>
            </w:tcBorders>
            <w:shd w:fill="E3F2FD" w:val="clear"/>
            <w:tcMar>
              <w:top w:type="dxa" w:w="80"/>
              <w:left w:type="dxa" w:w="200"/>
              <w:bottom w:type="dxa" w:w="80"/>
              <w:right w:type="dxa" w:w="120"/>
            </w:tcMar>
          </w:tcPr>
          <w:p>
            <w:pPr>
              <w:spacing w:after="0"/>
            </w:pPr>
            <w:r>
              <w:rPr>
                <w:i/>
                <w:iCs/>
                <w:color w:val="2D3436"/>
                <w:sz w:val="19"/>
                <w:szCs w:val="19"/>
              </w:rPr>
              <w:t xml:space="preserve">Key advantage: GhostDAG achieves high throughput without sacrificing decentralization or security. Unlike L2 solutions or centralized validators, performance comes from the consensus design itself.</w:t>
            </w:r>
          </w:p>
        </w:tc>
      </w:tr>
    </w:tbl>
    <w:p>
      <w:pPr>
        <w:pStyle w:val="Heading1"/>
        <w:pBdr>
          <w:bottom w:val="single" w:color="16697A" w:sz="2"/>
        </w:pBdr>
        <w:spacing w:before="360" w:after="160"/>
      </w:pPr>
      <w:r>
        <w:rPr>
          <w:b/>
          <w:bCs/>
          <w:color w:val="16697A"/>
        </w:rPr>
        <w:t xml:space="preserve">4. </w:t>
      </w:r>
      <w:r>
        <w:rPr>
          <w:b/>
          <w:bCs/>
        </w:rPr>
        <w:t xml:space="preserve">TRISTREAM MINING ARCHITECTURE</w:t>
      </w:r>
    </w:p>
    <w:p>
      <w:pPr>
        <w:spacing w:after="100"/>
      </w:pPr>
      <w:r>
        <w:rPr>
          <w:sz w:val="20"/>
          <w:szCs w:val="20"/>
        </w:rPr>
        <w:t xml:space="preserve">Mondoshawan introduces TriStream mining — a novel approach that splits block rewards across three parallel mining channels, each targeting different hardware and use cases. This prevents any single hardware class from centralizing the network.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1680"/>
        <w:gridCol w:w="2800"/>
        <w:gridCol w:w="3584"/>
      </w:tblGrid>
      <w:tr>
        <w:tc>
          <w:tcPr>
            <w:tcW w:type="dxa" w:w="2016"/>
            <w:gridSpan w:val="1"/>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spacing w:before="20" w:after="20"/>
              <w:jc w:val="left"/>
            </w:pPr>
            <w:r>
              <w:rPr>
                <w:b/>
                <w:bCs/>
                <w:color w:val="FFFFFF"/>
                <w:sz w:val="18"/>
                <w:szCs w:val="18"/>
              </w:rPr>
              <w:t xml:space="preserve">Stream</w:t>
            </w:r>
          </w:p>
        </w:tc>
        <w:tc>
          <w:tcPr>
            <w:tcW w:type="dxa" w:w="1680"/>
            <w:gridSpan w:val="1"/>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spacing w:before="20" w:after="20"/>
              <w:jc w:val="center"/>
            </w:pPr>
            <w:r>
              <w:rPr>
                <w:b/>
                <w:bCs/>
                <w:color w:val="FFFFFF"/>
                <w:sz w:val="18"/>
                <w:szCs w:val="18"/>
              </w:rPr>
              <w:t xml:space="preserve">Reward %</w:t>
            </w:r>
          </w:p>
        </w:tc>
        <w:tc>
          <w:tcPr>
            <w:tcW w:type="dxa" w:w="2800"/>
            <w:gridSpan w:val="1"/>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spacing w:before="20" w:after="20"/>
              <w:jc w:val="left"/>
            </w:pPr>
            <w:r>
              <w:rPr>
                <w:b/>
                <w:bCs/>
                <w:color w:val="FFFFFF"/>
                <w:sz w:val="18"/>
                <w:szCs w:val="18"/>
              </w:rPr>
              <w:t xml:space="preserve">Target Hardware</w:t>
            </w:r>
          </w:p>
        </w:tc>
        <w:tc>
          <w:tcPr>
            <w:tcW w:type="dxa" w:w="3584"/>
            <w:gridSpan w:val="1"/>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spacing w:before="20" w:after="20"/>
              <w:jc w:val="left"/>
            </w:pPr>
            <w:r>
              <w:rPr>
                <w:b/>
                <w:bCs/>
                <w:color w:val="FFFFFF"/>
                <w:sz w:val="18"/>
                <w:szCs w:val="18"/>
              </w:rPr>
              <w:t xml:space="preserve">Strategic Purpose</w:t>
            </w:r>
          </w:p>
        </w:tc>
      </w:tr>
      <w:tr>
        <w:tc>
          <w:tcPr>
            <w:tcW w:type="dxa" w:w="2016"/>
            <w:gridSpan w:val="1"/>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20" w:after="20"/>
              <w:jc w:val="left"/>
            </w:pPr>
            <w:r>
              <w:rPr>
                <w:b/>
                <w:bCs/>
                <w:color w:val="2D3436"/>
                <w:sz w:val="17"/>
                <w:szCs w:val="17"/>
              </w:rPr>
              <w:t xml:space="preserve">GPU Mining</w:t>
            </w:r>
          </w:p>
        </w:tc>
        <w:tc>
          <w:tcPr>
            <w:tcW w:type="dxa" w:w="1680"/>
            <w:gridSpan w:val="1"/>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20" w:after="20"/>
              <w:jc w:val="center"/>
            </w:pPr>
            <w:r>
              <w:rPr>
                <w:b/>
                <w:bCs/>
                <w:color w:val="2D3436"/>
                <w:sz w:val="17"/>
                <w:szCs w:val="17"/>
              </w:rPr>
              <w:t xml:space="preserve">45%</w:t>
            </w:r>
          </w:p>
        </w:tc>
        <w:tc>
          <w:tcPr>
            <w:tcW w:type="dxa" w:w="2800"/>
            <w:gridSpan w:val="1"/>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20" w:after="20"/>
              <w:jc w:val="left"/>
            </w:pPr>
            <w:r>
              <w:rPr>
                <w:b w:val="false"/>
                <w:bCs w:val="false"/>
                <w:color w:val="2D3436"/>
                <w:sz w:val="17"/>
                <w:szCs w:val="17"/>
              </w:rPr>
              <w:t xml:space="preserve">Consumer GPUs (NVIDIA, AMD)</w:t>
            </w:r>
          </w:p>
        </w:tc>
        <w:tc>
          <w:tcPr>
            <w:tcW w:type="dxa" w:w="3584"/>
            <w:gridSpan w:val="1"/>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spacing w:before="20" w:after="20"/>
              <w:jc w:val="left"/>
            </w:pPr>
            <w:r>
              <w:rPr>
                <w:b w:val="false"/>
                <w:bCs w:val="false"/>
                <w:color w:val="2D3436"/>
                <w:sz w:val="17"/>
                <w:szCs w:val="17"/>
              </w:rPr>
              <w:t xml:space="preserve">Maximum accessibility; largest mining community; decentralization anchor</w:t>
            </w:r>
          </w:p>
        </w:tc>
      </w:tr>
      <w:tr>
        <w:tc>
          <w:tcPr>
            <w:tcW w:type="dxa" w:w="2016"/>
            <w:gridSpan w:val="1"/>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vAlign w:val="center"/>
          </w:tcPr>
          <w:p>
            <w:pPr>
              <w:spacing w:before="20" w:after="20"/>
              <w:jc w:val="left"/>
            </w:pPr>
            <w:r>
              <w:rPr>
                <w:b/>
                <w:bCs/>
                <w:color w:val="2D3436"/>
                <w:sz w:val="17"/>
                <w:szCs w:val="17"/>
              </w:rPr>
              <w:t xml:space="preserve">ASIC Mining</w:t>
            </w:r>
          </w:p>
        </w:tc>
        <w:tc>
          <w:tcPr>
            <w:tcW w:type="dxa" w:w="1680"/>
            <w:gridSpan w:val="1"/>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vAlign w:val="center"/>
          </w:tcPr>
          <w:p>
            <w:pPr>
              <w:spacing w:before="20" w:after="20"/>
              <w:jc w:val="center"/>
            </w:pPr>
            <w:r>
              <w:rPr>
                <w:b/>
                <w:bCs/>
                <w:color w:val="2D3436"/>
                <w:sz w:val="17"/>
                <w:szCs w:val="17"/>
              </w:rPr>
              <w:t xml:space="preserve">35%</w:t>
            </w:r>
          </w:p>
        </w:tc>
        <w:tc>
          <w:tcPr>
            <w:tcW w:type="dxa" w:w="2800"/>
            <w:gridSpan w:val="1"/>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vAlign w:val="center"/>
          </w:tcPr>
          <w:p>
            <w:pPr>
              <w:spacing w:before="20" w:after="20"/>
              <w:jc w:val="left"/>
            </w:pPr>
            <w:r>
              <w:rPr>
                <w:b w:val="false"/>
                <w:bCs w:val="false"/>
                <w:color w:val="2D3436"/>
                <w:sz w:val="17"/>
                <w:szCs w:val="17"/>
              </w:rPr>
              <w:t xml:space="preserve">Purpose-built mining hardware</w:t>
            </w:r>
          </w:p>
        </w:tc>
        <w:tc>
          <w:tcPr>
            <w:tcW w:type="dxa" w:w="3584"/>
            <w:gridSpan w:val="1"/>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vAlign w:val="center"/>
          </w:tcPr>
          <w:p>
            <w:pPr>
              <w:spacing w:before="20" w:after="20"/>
              <w:jc w:val="left"/>
            </w:pPr>
            <w:r>
              <w:rPr>
                <w:b w:val="false"/>
                <w:bCs w:val="false"/>
                <w:color w:val="2D3436"/>
                <w:sz w:val="17"/>
                <w:szCs w:val="17"/>
              </w:rPr>
              <w:t xml:space="preserve">Network security through dedicated investment; infrastructure commitment signal</w:t>
            </w:r>
          </w:p>
        </w:tc>
      </w:tr>
      <w:tr>
        <w:tc>
          <w:tcPr>
            <w:tcW w:type="dxa" w:w="2016"/>
            <w:gridSpan w:val="1"/>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vAlign w:val="center"/>
          </w:tcPr>
          <w:p>
            <w:pPr>
              <w:spacing w:before="20" w:after="20"/>
              <w:jc w:val="left"/>
            </w:pPr>
            <w:r>
              <w:rPr>
                <w:b/>
                <w:bCs/>
                <w:color w:val="2D3436"/>
                <w:sz w:val="17"/>
                <w:szCs w:val="17"/>
              </w:rPr>
              <w:t xml:space="preserve">ZK Proving</w:t>
            </w:r>
          </w:p>
        </w:tc>
        <w:tc>
          <w:tcPr>
            <w:tcW w:type="dxa" w:w="1680"/>
            <w:gridSpan w:val="1"/>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vAlign w:val="center"/>
          </w:tcPr>
          <w:p>
            <w:pPr>
              <w:spacing w:before="20" w:after="20"/>
              <w:jc w:val="center"/>
            </w:pPr>
            <w:r>
              <w:rPr>
                <w:b/>
                <w:bCs/>
                <w:color w:val="2D3436"/>
                <w:sz w:val="17"/>
                <w:szCs w:val="17"/>
              </w:rPr>
              <w:t xml:space="preserve">20%</w:t>
            </w:r>
          </w:p>
        </w:tc>
        <w:tc>
          <w:tcPr>
            <w:tcW w:type="dxa" w:w="2800"/>
            <w:gridSpan w:val="1"/>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vAlign w:val="center"/>
          </w:tcPr>
          <w:p>
            <w:pPr>
              <w:spacing w:before="20" w:after="20"/>
              <w:jc w:val="left"/>
            </w:pPr>
            <w:r>
              <w:rPr>
                <w:b w:val="false"/>
                <w:bCs w:val="false"/>
                <w:color w:val="2D3436"/>
                <w:sz w:val="17"/>
                <w:szCs w:val="17"/>
              </w:rPr>
              <w:t xml:space="preserve">ZK proof generation hardware</w:t>
            </w:r>
          </w:p>
        </w:tc>
        <w:tc>
          <w:tcPr>
            <w:tcW w:type="dxa" w:w="3584"/>
            <w:gridSpan w:val="1"/>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vAlign w:val="center"/>
          </w:tcPr>
          <w:p>
            <w:pPr>
              <w:spacing w:before="20" w:after="20"/>
              <w:jc w:val="left"/>
            </w:pPr>
            <w:r>
              <w:rPr>
                <w:b w:val="false"/>
                <w:bCs w:val="false"/>
                <w:color w:val="2D3436"/>
                <w:sz w:val="17"/>
                <w:szCs w:val="17"/>
              </w:rPr>
              <w:t xml:space="preserve">Future-facing: privacy features, L2 verification, computational integrity proofs</w:t>
            </w:r>
          </w:p>
        </w:tc>
      </w:tr>
    </w:tbl>
    <w:p>
      <w:pPr>
        <w:spacing w:after="100"/>
      </w:pPr>
      <w:r>
        <w:rPr>
          <w:sz w:val="20"/>
          <w:szCs w:val="20"/>
        </w:rPr>
        <w:t xml:space="preserve"/>
      </w:r>
    </w:p>
    <w:p>
      <w:pPr>
        <w:spacing w:after="100"/>
      </w:pPr>
      <w:r>
        <w:rPr>
          <w:sz w:val="20"/>
          <w:szCs w:val="20"/>
        </w:rPr>
        <w:t xml:space="preserve">The GPU stream ensures that ordinary users with consumer hardware can participate from day one. The ASIC stream attracts serious mining operations that provide sustained hashrate. The ZK stream is forward-looking — it creates infrastructure for privacy features and layer-2 verification that will become critical as the ecosystem matures.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none" w:sz="0"/>
              <w:left w:val="single" w:color="16697A" w:sz="8"/>
              <w:bottom w:val="none" w:sz="0"/>
              <w:right w:val="none" w:sz="0"/>
            </w:tcBorders>
            <w:shd w:fill="FFF8E1" w:val="clear"/>
            <w:tcMar>
              <w:top w:type="dxa" w:w="80"/>
              <w:left w:type="dxa" w:w="200"/>
              <w:bottom w:type="dxa" w:w="80"/>
              <w:right w:type="dxa" w:w="120"/>
            </w:tcMar>
          </w:tcPr>
          <w:p>
            <w:pPr>
              <w:spacing w:after="0"/>
            </w:pPr>
            <w:r>
              <w:rPr>
                <w:i/>
                <w:iCs/>
                <w:color w:val="2D3436"/>
                <w:sz w:val="19"/>
                <w:szCs w:val="19"/>
              </w:rPr>
              <w:t xml:space="preserve">No single hardware manufacturer can control Mondoshawan. Even if ASICs dominate their stream, GPU and ZK miners still earn 65% of total block rewards independently.</w:t>
            </w:r>
          </w:p>
        </w:tc>
      </w:tr>
    </w:tbl>
    <w:p>
      <w:r>
        <w:r>
          <w:br w:type="page"/>
        </w:r>
      </w:r>
    </w:p>
    <w:p>
      <w:pPr>
        <w:pStyle w:val="Heading1"/>
        <w:pBdr>
          <w:bottom w:val="single" w:color="16697A" w:sz="2"/>
        </w:pBdr>
        <w:spacing w:before="360" w:after="160"/>
      </w:pPr>
      <w:r>
        <w:rPr>
          <w:b/>
          <w:bCs/>
          <w:color w:val="16697A"/>
        </w:rPr>
        <w:t xml:space="preserve">5. </w:t>
      </w:r>
      <w:r>
        <w:rPr>
          <w:b/>
          <w:bCs/>
        </w:rPr>
        <w:t xml:space="preserve">POST-QUANTUM CRYPTOGRAPHY</w:t>
      </w:r>
    </w:p>
    <w:p>
      <w:pPr>
        <w:pStyle w:val="Heading2"/>
        <w:spacing w:before="240" w:after="100"/>
      </w:pPr>
      <w:r>
        <w:rPr>
          <w:b/>
          <w:bCs/>
        </w:rPr>
        <w:t xml:space="preserve">ML-DSA (Dilithium) Implementation</w:t>
      </w:r>
    </w:p>
    <w:p>
      <w:pPr>
        <w:spacing w:after="100"/>
      </w:pPr>
      <w:r>
        <w:rPr>
          <w:sz w:val="20"/>
          <w:szCs w:val="20"/>
        </w:rPr>
        <w:t xml:space="preserve">Mondoshawan implements ML-DSA (Module Lattice Digital Signature Algorithm), standardized as FIPS 204 by NIST in August 2024. ML-DSA replaces ECDSA for all transaction signatures, address generation, and block signing.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780"/>
        <w:gridCol w:w="3780"/>
      </w:tblGrid>
      <w:tr>
        <w:tc>
          <w:tcPr>
            <w:tcW w:type="dxa" w:w="2520"/>
            <w:gridSpan w:val="1"/>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pPr>
              <w:spacing w:before="20" w:after="20"/>
              <w:jc w:val="left"/>
            </w:pPr>
            <w:r>
              <w:rPr>
                <w:b/>
                <w:bCs/>
                <w:color w:val="FFFFFF"/>
                <w:sz w:val="18"/>
                <w:szCs w:val="18"/>
              </w:rPr>
              <w:t xml:space="preserve">Property</w:t>
            </w:r>
          </w:p>
        </w:tc>
        <w:tc>
          <w:tcPr>
            <w:tcW w:type="dxa" w:w="3780"/>
            <w:gridSpan w:val="1"/>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pPr>
              <w:spacing w:before="20" w:after="20"/>
              <w:jc w:val="center"/>
            </w:pPr>
            <w:r>
              <w:rPr>
                <w:b/>
                <w:bCs/>
                <w:color w:val="FFFFFF"/>
                <w:sz w:val="18"/>
                <w:szCs w:val="18"/>
              </w:rPr>
              <w:t xml:space="preserve">ECDSA (Current Standard)</w:t>
            </w:r>
          </w:p>
        </w:tc>
        <w:tc>
          <w:tcPr>
            <w:tcW w:type="dxa" w:w="3780"/>
            <w:gridSpan w:val="1"/>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vAlign w:val="center"/>
          </w:tcPr>
          <w:p>
            <w:pPr>
              <w:spacing w:before="20" w:after="20"/>
              <w:jc w:val="center"/>
            </w:pPr>
            <w:r>
              <w:rPr>
                <w:b/>
                <w:bCs/>
                <w:color w:val="FFFFFF"/>
                <w:sz w:val="18"/>
                <w:szCs w:val="18"/>
              </w:rPr>
              <w:t xml:space="preserve">ML-DSA (Mondoshawan)</w:t>
            </w:r>
          </w:p>
        </w:tc>
      </w:tr>
      <w:tr>
        <w:tc>
          <w:tcPr>
            <w:tcW w:type="dxa" w:w="2520"/>
            <w:gridSpan w:val="1"/>
            <w:tcBorders>
              <w:top w:val="single" w:color="CCCCCC" w:sz="1"/>
              <w:left w:val="single" w:color="CCCCCC" w:sz="1"/>
              <w:bottom w:val="single" w:color="CCCCCC" w:sz="1"/>
              <w:right w:val="single" w:color="CCCCCC" w:sz="1"/>
            </w:tcBorders>
            <w:shd w:fill="F0F3F5" w:val="clear"/>
            <w:tcMar>
              <w:top w:type="dxa" w:w="60"/>
              <w:left w:type="dxa" w:w="100"/>
              <w:bottom w:type="dxa" w:w="60"/>
              <w:right w:type="dxa" w:w="100"/>
            </w:tcMar>
            <w:vAlign w:val="center"/>
          </w:tcPr>
          <w:p>
            <w:pPr>
              <w:spacing w:before="20" w:after="20"/>
              <w:jc w:val="left"/>
            </w:pPr>
            <w:r>
              <w:rPr>
                <w:b/>
                <w:bCs/>
                <w:color w:val="2D3436"/>
                <w:sz w:val="17"/>
                <w:szCs w:val="17"/>
              </w:rPr>
              <w:t xml:space="preserve">Security basis</w:t>
            </w:r>
          </w:p>
        </w:tc>
        <w:tc>
          <w:tcPr>
            <w:tcW w:type="dxa" w:w="3780"/>
            <w:gridSpan w:val="1"/>
            <w:tcBorders>
              <w:top w:val="single" w:color="CCCCCC" w:sz="1"/>
              <w:left w:val="single" w:color="CCCCCC" w:sz="1"/>
              <w:bottom w:val="single" w:color="CCCCCC" w:sz="1"/>
              <w:right w:val="single" w:color="CCCCCC" w:sz="1"/>
            </w:tcBorders>
            <w:shd w:fill="F0F3F5" w:val="clear"/>
            <w:tcMar>
              <w:top w:type="dxa" w:w="60"/>
              <w:left w:type="dxa" w:w="100"/>
              <w:bottom w:type="dxa" w:w="60"/>
              <w:right w:type="dxa" w:w="100"/>
            </w:tcMar>
            <w:vAlign w:val="center"/>
          </w:tcPr>
          <w:p>
            <w:pPr>
              <w:spacing w:before="20" w:after="20"/>
              <w:jc w:val="center"/>
            </w:pPr>
            <w:r>
              <w:rPr>
                <w:b w:val="false"/>
                <w:bCs w:val="false"/>
                <w:color w:val="2D3436"/>
                <w:sz w:val="17"/>
                <w:szCs w:val="17"/>
              </w:rPr>
              <w:t xml:space="preserve">Elliptic curve discrete log</w:t>
            </w:r>
          </w:p>
        </w:tc>
        <w:tc>
          <w:tcPr>
            <w:tcW w:type="dxa" w:w="3780"/>
            <w:gridSpan w:val="1"/>
            <w:tcBorders>
              <w:top w:val="single" w:color="CCCCCC" w:sz="1"/>
              <w:left w:val="single" w:color="CCCCCC" w:sz="1"/>
              <w:bottom w:val="single" w:color="CCCCCC" w:sz="1"/>
              <w:right w:val="single" w:color="CCCCCC" w:sz="1"/>
            </w:tcBorders>
            <w:shd w:fill="F0F3F5" w:val="clear"/>
            <w:tcMar>
              <w:top w:type="dxa" w:w="60"/>
              <w:left w:type="dxa" w:w="100"/>
              <w:bottom w:type="dxa" w:w="60"/>
              <w:right w:type="dxa" w:w="100"/>
            </w:tcMar>
            <w:vAlign w:val="center"/>
          </w:tcPr>
          <w:p>
            <w:pPr>
              <w:spacing w:before="20" w:after="20"/>
              <w:jc w:val="center"/>
            </w:pPr>
            <w:r>
              <w:rPr>
                <w:b/>
                <w:bCs/>
                <w:color w:val="2D3436"/>
                <w:sz w:val="17"/>
                <w:szCs w:val="17"/>
              </w:rPr>
              <w:t xml:space="preserve">Module lattice hard problems</w:t>
            </w:r>
          </w:p>
        </w:tc>
      </w:tr>
      <w:tr>
        <w:tc>
          <w:tcPr>
            <w:tcW w:type="dxa" w:w="252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20" w:after="20"/>
              <w:jc w:val="left"/>
            </w:pPr>
            <w:r>
              <w:rPr>
                <w:b/>
                <w:bCs/>
                <w:color w:val="2D3436"/>
                <w:sz w:val="17"/>
                <w:szCs w:val="17"/>
              </w:rPr>
              <w:t xml:space="preserve">Quantum resistant</w:t>
            </w:r>
          </w:p>
        </w:tc>
        <w:tc>
          <w:tcPr>
            <w:tcW w:type="dxa" w:w="37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20" w:after="20"/>
              <w:jc w:val="center"/>
            </w:pPr>
            <w:r>
              <w:rPr>
                <w:b w:val="false"/>
                <w:bCs w:val="false"/>
                <w:color w:val="2D3436"/>
                <w:sz w:val="17"/>
                <w:szCs w:val="17"/>
              </w:rPr>
              <w:t xml:space="preserve">No (Shor’s algorithm breaks)</w:t>
            </w:r>
          </w:p>
        </w:tc>
        <w:tc>
          <w:tcPr>
            <w:tcW w:type="dxa" w:w="37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20" w:after="20"/>
              <w:jc w:val="center"/>
            </w:pPr>
            <w:r>
              <w:rPr>
                <w:b/>
                <w:bCs/>
                <w:color w:val="2D3436"/>
                <w:sz w:val="17"/>
                <w:szCs w:val="17"/>
              </w:rPr>
              <w:t xml:space="preserve">Yes (NIST standardized)</w:t>
            </w:r>
          </w:p>
        </w:tc>
      </w:tr>
      <w:tr>
        <w:tc>
          <w:tcPr>
            <w:tcW w:type="dxa" w:w="2520"/>
            <w:gridSpan w:val="1"/>
            <w:tcBorders>
              <w:top w:val="single" w:color="CCCCCC" w:sz="1"/>
              <w:left w:val="single" w:color="CCCCCC" w:sz="1"/>
              <w:bottom w:val="single" w:color="CCCCCC" w:sz="1"/>
              <w:right w:val="single" w:color="CCCCCC" w:sz="1"/>
            </w:tcBorders>
            <w:shd w:fill="F0F3F5" w:val="clear"/>
            <w:tcMar>
              <w:top w:type="dxa" w:w="60"/>
              <w:left w:type="dxa" w:w="100"/>
              <w:bottom w:type="dxa" w:w="60"/>
              <w:right w:type="dxa" w:w="100"/>
            </w:tcMar>
            <w:vAlign w:val="center"/>
          </w:tcPr>
          <w:p>
            <w:pPr>
              <w:spacing w:before="20" w:after="20"/>
              <w:jc w:val="left"/>
            </w:pPr>
            <w:r>
              <w:rPr>
                <w:b/>
                <w:bCs/>
                <w:color w:val="2D3436"/>
                <w:sz w:val="17"/>
                <w:szCs w:val="17"/>
              </w:rPr>
              <w:t xml:space="preserve">Signature size</w:t>
            </w:r>
          </w:p>
        </w:tc>
        <w:tc>
          <w:tcPr>
            <w:tcW w:type="dxa" w:w="3780"/>
            <w:gridSpan w:val="1"/>
            <w:tcBorders>
              <w:top w:val="single" w:color="CCCCCC" w:sz="1"/>
              <w:left w:val="single" w:color="CCCCCC" w:sz="1"/>
              <w:bottom w:val="single" w:color="CCCCCC" w:sz="1"/>
              <w:right w:val="single" w:color="CCCCCC" w:sz="1"/>
            </w:tcBorders>
            <w:shd w:fill="F0F3F5" w:val="clear"/>
            <w:tcMar>
              <w:top w:type="dxa" w:w="60"/>
              <w:left w:type="dxa" w:w="100"/>
              <w:bottom w:type="dxa" w:w="60"/>
              <w:right w:type="dxa" w:w="100"/>
            </w:tcMar>
            <w:vAlign w:val="center"/>
          </w:tcPr>
          <w:p>
            <w:pPr>
              <w:spacing w:before="20" w:after="20"/>
              <w:jc w:val="center"/>
            </w:pPr>
            <w:r>
              <w:rPr>
                <w:b w:val="false"/>
                <w:bCs w:val="false"/>
                <w:color w:val="2D3436"/>
                <w:sz w:val="17"/>
                <w:szCs w:val="17"/>
              </w:rPr>
              <w:t xml:space="preserve">~64 bytes</w:t>
            </w:r>
          </w:p>
        </w:tc>
        <w:tc>
          <w:tcPr>
            <w:tcW w:type="dxa" w:w="3780"/>
            <w:gridSpan w:val="1"/>
            <w:tcBorders>
              <w:top w:val="single" w:color="CCCCCC" w:sz="1"/>
              <w:left w:val="single" w:color="CCCCCC" w:sz="1"/>
              <w:bottom w:val="single" w:color="CCCCCC" w:sz="1"/>
              <w:right w:val="single" w:color="CCCCCC" w:sz="1"/>
            </w:tcBorders>
            <w:shd w:fill="F0F3F5" w:val="clear"/>
            <w:tcMar>
              <w:top w:type="dxa" w:w="60"/>
              <w:left w:type="dxa" w:w="100"/>
              <w:bottom w:type="dxa" w:w="60"/>
              <w:right w:type="dxa" w:w="100"/>
            </w:tcMar>
            <w:vAlign w:val="center"/>
          </w:tcPr>
          <w:p>
            <w:pPr>
              <w:spacing w:before="20" w:after="20"/>
              <w:jc w:val="center"/>
            </w:pPr>
            <w:r>
              <w:rPr>
                <w:b/>
                <w:bCs/>
                <w:color w:val="2D3436"/>
                <w:sz w:val="17"/>
                <w:szCs w:val="17"/>
              </w:rPr>
              <w:t xml:space="preserve">~2,420 bytes (ML-DSA-44)</w:t>
            </w:r>
          </w:p>
        </w:tc>
      </w:tr>
      <w:tr>
        <w:tc>
          <w:tcPr>
            <w:tcW w:type="dxa" w:w="252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20" w:after="20"/>
              <w:jc w:val="left"/>
            </w:pPr>
            <w:r>
              <w:rPr>
                <w:b/>
                <w:bCs/>
                <w:color w:val="2D3436"/>
                <w:sz w:val="17"/>
                <w:szCs w:val="17"/>
              </w:rPr>
              <w:t xml:space="preserve">Public key size</w:t>
            </w:r>
          </w:p>
        </w:tc>
        <w:tc>
          <w:tcPr>
            <w:tcW w:type="dxa" w:w="37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20" w:after="20"/>
              <w:jc w:val="center"/>
            </w:pPr>
            <w:r>
              <w:rPr>
                <w:b w:val="false"/>
                <w:bCs w:val="false"/>
                <w:color w:val="2D3436"/>
                <w:sz w:val="17"/>
                <w:szCs w:val="17"/>
              </w:rPr>
              <w:t xml:space="preserve">~33 bytes</w:t>
            </w:r>
          </w:p>
        </w:tc>
        <w:tc>
          <w:tcPr>
            <w:tcW w:type="dxa" w:w="37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20" w:after="20"/>
              <w:jc w:val="center"/>
            </w:pPr>
            <w:r>
              <w:rPr>
                <w:b/>
                <w:bCs/>
                <w:color w:val="2D3436"/>
                <w:sz w:val="17"/>
                <w:szCs w:val="17"/>
              </w:rPr>
              <w:t xml:space="preserve">~1,312 bytes (ML-DSA-44)</w:t>
            </w:r>
          </w:p>
        </w:tc>
      </w:tr>
      <w:tr>
        <w:tc>
          <w:tcPr>
            <w:tcW w:type="dxa" w:w="2520"/>
            <w:gridSpan w:val="1"/>
            <w:tcBorders>
              <w:top w:val="single" w:color="CCCCCC" w:sz="1"/>
              <w:left w:val="single" w:color="CCCCCC" w:sz="1"/>
              <w:bottom w:val="single" w:color="CCCCCC" w:sz="1"/>
              <w:right w:val="single" w:color="CCCCCC" w:sz="1"/>
            </w:tcBorders>
            <w:shd w:fill="F0F3F5" w:val="clear"/>
            <w:tcMar>
              <w:top w:type="dxa" w:w="60"/>
              <w:left w:type="dxa" w:w="100"/>
              <w:bottom w:type="dxa" w:w="60"/>
              <w:right w:type="dxa" w:w="100"/>
            </w:tcMar>
            <w:vAlign w:val="center"/>
          </w:tcPr>
          <w:p>
            <w:pPr>
              <w:spacing w:before="20" w:after="20"/>
              <w:jc w:val="left"/>
            </w:pPr>
            <w:r>
              <w:rPr>
                <w:b/>
                <w:bCs/>
                <w:color w:val="2D3436"/>
                <w:sz w:val="17"/>
                <w:szCs w:val="17"/>
              </w:rPr>
              <w:t xml:space="preserve">Verification speed</w:t>
            </w:r>
          </w:p>
        </w:tc>
        <w:tc>
          <w:tcPr>
            <w:tcW w:type="dxa" w:w="3780"/>
            <w:gridSpan w:val="1"/>
            <w:tcBorders>
              <w:top w:val="single" w:color="CCCCCC" w:sz="1"/>
              <w:left w:val="single" w:color="CCCCCC" w:sz="1"/>
              <w:bottom w:val="single" w:color="CCCCCC" w:sz="1"/>
              <w:right w:val="single" w:color="CCCCCC" w:sz="1"/>
            </w:tcBorders>
            <w:shd w:fill="F0F3F5" w:val="clear"/>
            <w:tcMar>
              <w:top w:type="dxa" w:w="60"/>
              <w:left w:type="dxa" w:w="100"/>
              <w:bottom w:type="dxa" w:w="60"/>
              <w:right w:type="dxa" w:w="100"/>
            </w:tcMar>
            <w:vAlign w:val="center"/>
          </w:tcPr>
          <w:p>
            <w:pPr>
              <w:spacing w:before="20" w:after="20"/>
              <w:jc w:val="center"/>
            </w:pPr>
            <w:r>
              <w:rPr>
                <w:b w:val="false"/>
                <w:bCs w:val="false"/>
                <w:color w:val="2D3436"/>
                <w:sz w:val="17"/>
                <w:szCs w:val="17"/>
              </w:rPr>
              <w:t xml:space="preserve">~0.4 ms</w:t>
            </w:r>
          </w:p>
        </w:tc>
        <w:tc>
          <w:tcPr>
            <w:tcW w:type="dxa" w:w="3780"/>
            <w:gridSpan w:val="1"/>
            <w:tcBorders>
              <w:top w:val="single" w:color="CCCCCC" w:sz="1"/>
              <w:left w:val="single" w:color="CCCCCC" w:sz="1"/>
              <w:bottom w:val="single" w:color="CCCCCC" w:sz="1"/>
              <w:right w:val="single" w:color="CCCCCC" w:sz="1"/>
            </w:tcBorders>
            <w:shd w:fill="F0F3F5" w:val="clear"/>
            <w:tcMar>
              <w:top w:type="dxa" w:w="60"/>
              <w:left w:type="dxa" w:w="100"/>
              <w:bottom w:type="dxa" w:w="60"/>
              <w:right w:type="dxa" w:w="100"/>
            </w:tcMar>
            <w:vAlign w:val="center"/>
          </w:tcPr>
          <w:p>
            <w:pPr>
              <w:spacing w:before="20" w:after="20"/>
              <w:jc w:val="center"/>
            </w:pPr>
            <w:r>
              <w:rPr>
                <w:b/>
                <w:bCs/>
                <w:color w:val="2D3436"/>
                <w:sz w:val="17"/>
                <w:szCs w:val="17"/>
              </w:rPr>
              <w:t xml:space="preserve">~0.5 ms (comparable)</w:t>
            </w:r>
          </w:p>
        </w:tc>
      </w:tr>
      <w:tr>
        <w:tc>
          <w:tcPr>
            <w:tcW w:type="dxa" w:w="252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20" w:after="20"/>
              <w:jc w:val="left"/>
            </w:pPr>
            <w:r>
              <w:rPr>
                <w:b/>
                <w:bCs/>
                <w:color w:val="2D3436"/>
                <w:sz w:val="17"/>
                <w:szCs w:val="17"/>
              </w:rPr>
              <w:t xml:space="preserve">Standard</w:t>
            </w:r>
          </w:p>
        </w:tc>
        <w:tc>
          <w:tcPr>
            <w:tcW w:type="dxa" w:w="37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20" w:after="20"/>
              <w:jc w:val="center"/>
            </w:pPr>
            <w:r>
              <w:rPr>
                <w:b w:val="false"/>
                <w:bCs w:val="false"/>
                <w:color w:val="2D3436"/>
                <w:sz w:val="17"/>
                <w:szCs w:val="17"/>
              </w:rPr>
              <w:t xml:space="preserve">SEC 2 (industry consensus)</w:t>
            </w:r>
          </w:p>
        </w:tc>
        <w:tc>
          <w:tcPr>
            <w:tcW w:type="dxa" w:w="378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20" w:after="20"/>
              <w:jc w:val="center"/>
            </w:pPr>
            <w:r>
              <w:rPr>
                <w:b/>
                <w:bCs/>
                <w:color w:val="2D3436"/>
                <w:sz w:val="17"/>
                <w:szCs w:val="17"/>
              </w:rPr>
              <w:t xml:space="preserve">FIPS 204 (federal standard)</w:t>
            </w:r>
          </w:p>
        </w:tc>
      </w:tr>
    </w:tbl>
    <w:p>
      <w:pPr>
        <w:pStyle w:val="Heading2"/>
        <w:spacing w:before="240" w:after="100"/>
      </w:pPr>
      <w:r>
        <w:rPr>
          <w:b/>
          <w:bCs/>
        </w:rPr>
        <w:t xml:space="preserve">Tradeoff: Larger Signatures</w:t>
      </w:r>
    </w:p>
    <w:p>
      <w:pPr>
        <w:spacing w:after="100"/>
      </w:pPr>
      <w:r>
        <w:rPr>
          <w:sz w:val="20"/>
          <w:szCs w:val="20"/>
        </w:rPr>
        <w:t xml:space="preserve">ML-DSA signatures are approximately 38x larger than ECDSA. This is the primary engineering tradeoff of post-quantum cryptography. Mondoshawan addresses this through GhostDAG’s parallel block processing, which provides sufficient throughput to absorb the increased data requirements without impacting user experience.</w:t>
      </w:r>
    </w:p>
    <w:p>
      <w:pPr>
        <w:spacing w:after="100"/>
      </w:pPr>
      <w:r>
        <w:rPr>
          <w:sz w:val="20"/>
          <w:szCs w:val="20"/>
        </w:rPr>
        <w:t xml:space="preserve">This tradeoff is temporary. As post-quantum cryptography matures, signature sizes will shrink. Meanwhile, Mondoshawan’s users have quantum-safe transactions today rather than waiting years for migration paths on other chains.</w:t>
      </w:r>
    </w:p>
    <w:p>
      <w:pPr>
        <w:pStyle w:val="Heading1"/>
        <w:pBdr>
          <w:bottom w:val="single" w:color="16697A" w:sz="2"/>
        </w:pBdr>
        <w:spacing w:before="360" w:after="160"/>
      </w:pPr>
      <w:r>
        <w:rPr>
          <w:b/>
          <w:bCs/>
          <w:color w:val="16697A"/>
        </w:rPr>
        <w:t xml:space="preserve">6. </w:t>
      </w:r>
      <w:r>
        <w:rPr>
          <w:b/>
          <w:bCs/>
        </w:rPr>
        <w:t xml:space="preserve">EVM COMPATIBILITY</w:t>
      </w:r>
    </w:p>
    <w:p>
      <w:pPr>
        <w:spacing w:after="100"/>
      </w:pPr>
      <w:r>
        <w:rPr>
          <w:sz w:val="20"/>
          <w:szCs w:val="20"/>
        </w:rPr>
        <w:t xml:space="preserve">Mondoshawan includes a full Ethereum Virtual Machine implementation, allowing Solidity smart contracts to deploy without modification. This is a critical adoption decision: rather than requiring developers to learn a new language or toolchain, Mondoshawan leverages the largest smart contract developer ecosystem in existence.</w:t>
      </w:r>
    </w:p>
    <w:p>
      <w:pPr>
        <w:pStyle w:val="ListParagraph"/>
        <w:numPr>
          <w:ilvl w:val="0"/>
          <w:numId w:val="2"/>
        </w:numPr>
        <w:spacing w:after="50"/>
      </w:pPr>
      <w:r>
        <w:rPr>
          <w:b/>
          <w:bCs/>
          <w:sz w:val="19"/>
          <w:szCs w:val="19"/>
        </w:rPr>
        <w:t xml:space="preserve">Solidity contracts: </w:t>
      </w:r>
      <w:r>
        <w:rPr>
          <w:sz w:val="19"/>
          <w:szCs w:val="19"/>
        </w:rPr>
        <w:t xml:space="preserve">Deploy existing dApps directly from Remix, Hardhat, or Foundry</w:t>
      </w:r>
    </w:p>
    <w:p>
      <w:pPr>
        <w:pStyle w:val="ListParagraph"/>
        <w:numPr>
          <w:ilvl w:val="0"/>
          <w:numId w:val="2"/>
        </w:numPr>
        <w:spacing w:after="50"/>
      </w:pPr>
      <w:r>
        <w:rPr>
          <w:b/>
          <w:bCs/>
          <w:sz w:val="19"/>
          <w:szCs w:val="19"/>
        </w:rPr>
        <w:t xml:space="preserve">Web3.js / ethers.js: </w:t>
      </w:r>
      <w:r>
        <w:rPr>
          <w:sz w:val="19"/>
          <w:szCs w:val="19"/>
        </w:rPr>
        <w:t xml:space="preserve">Standard Ethereum libraries work natively</w:t>
      </w:r>
    </w:p>
    <w:p>
      <w:pPr>
        <w:pStyle w:val="ListParagraph"/>
        <w:numPr>
          <w:ilvl w:val="0"/>
          <w:numId w:val="2"/>
        </w:numPr>
        <w:spacing w:after="50"/>
      </w:pPr>
      <w:r>
        <w:rPr>
          <w:b/>
          <w:bCs/>
          <w:sz w:val="19"/>
          <w:szCs w:val="19"/>
        </w:rPr>
        <w:t xml:space="preserve">MetaMask: </w:t>
      </w:r>
      <w:r>
        <w:rPr>
          <w:sz w:val="19"/>
          <w:szCs w:val="19"/>
        </w:rPr>
        <w:t xml:space="preserve">Add Mondoshawan as a custom network — no new wallet needed</w:t>
      </w:r>
    </w:p>
    <w:p>
      <w:pPr>
        <w:pStyle w:val="ListParagraph"/>
        <w:numPr>
          <w:ilvl w:val="0"/>
          <w:numId w:val="2"/>
        </w:numPr>
        <w:spacing w:after="50"/>
      </w:pPr>
      <w:r>
        <w:rPr>
          <w:b/>
          <w:bCs/>
          <w:sz w:val="19"/>
          <w:szCs w:val="19"/>
        </w:rPr>
        <w:t xml:space="preserve">Token standards: </w:t>
      </w:r>
      <w:r>
        <w:rPr>
          <w:sz w:val="19"/>
          <w:szCs w:val="19"/>
        </w:rPr>
        <w:t xml:space="preserve">ERC-20, ERC-721, ERC-1155 all supported</w:t>
      </w:r>
    </w:p>
    <w:p>
      <w:pPr>
        <w:pStyle w:val="ListParagraph"/>
        <w:numPr>
          <w:ilvl w:val="0"/>
          <w:numId w:val="2"/>
        </w:numPr>
        <w:spacing w:after="50"/>
      </w:pPr>
      <w:r>
        <w:rPr>
          <w:b/>
          <w:bCs/>
          <w:sz w:val="19"/>
          <w:szCs w:val="19"/>
        </w:rPr>
        <w:t xml:space="preserve">DeFi primitives: </w:t>
      </w:r>
      <w:r>
        <w:rPr>
          <w:sz w:val="19"/>
          <w:szCs w:val="19"/>
        </w:rPr>
        <w:t xml:space="preserve">Uniswap-style AMMs, lending protocols, and bridges can deploy immediately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none" w:sz="0"/>
              <w:left w:val="single" w:color="16697A" w:sz="8"/>
              <w:bottom w:val="none" w:sz="0"/>
              <w:right w:val="none" w:sz="0"/>
            </w:tcBorders>
            <w:shd w:fill="E8F5E9" w:val="clear"/>
            <w:tcMar>
              <w:top w:type="dxa" w:w="80"/>
              <w:left w:type="dxa" w:w="200"/>
              <w:bottom w:type="dxa" w:w="80"/>
              <w:right w:type="dxa" w:w="120"/>
            </w:tcMar>
          </w:tcPr>
          <w:p>
            <w:pPr>
              <w:spacing w:after="0"/>
            </w:pPr>
            <w:r>
              <w:rPr>
                <w:i/>
                <w:iCs/>
                <w:color w:val="2D3436"/>
                <w:sz w:val="19"/>
                <w:szCs w:val="19"/>
              </w:rPr>
              <w:t xml:space="preserve">Every Ethereum developer is already a potential Mondoshawan developer. The barrier to building on the network is zero.</w:t>
            </w:r>
          </w:p>
        </w:tc>
      </w:tr>
    </w:tbl>
    <w:p>
      <w:pPr>
        <w:pStyle w:val="Heading1"/>
        <w:pBdr>
          <w:bottom w:val="single" w:color="16697A" w:sz="2"/>
        </w:pBdr>
        <w:spacing w:before="360" w:after="160"/>
      </w:pPr>
      <w:r>
        <w:rPr>
          <w:b/>
          <w:bCs/>
          <w:color w:val="16697A"/>
        </w:rPr>
        <w:t xml:space="preserve">7. </w:t>
      </w:r>
      <w:r>
        <w:rPr>
          <w:b/>
          <w:bCs/>
        </w:rPr>
        <w:t xml:space="preserve">ARCHITECTURE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c>
          <w:tcPr>
            <w:tcW w:type="dxa" w:w="3360"/>
            <w:gridSpan w:val="1"/>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spacing w:before="20" w:after="20"/>
              <w:jc w:val="left"/>
            </w:pPr>
            <w:r>
              <w:rPr>
                <w:b/>
                <w:bCs/>
                <w:color w:val="FFFFFF"/>
                <w:sz w:val="18"/>
                <w:szCs w:val="18"/>
              </w:rPr>
              <w:t xml:space="preserve">Layer</w:t>
            </w:r>
          </w:p>
        </w:tc>
        <w:tc>
          <w:tcPr>
            <w:tcW w:type="dxa" w:w="6720"/>
            <w:gridSpan w:val="1"/>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spacing w:before="20" w:after="20"/>
              <w:jc w:val="left"/>
            </w:pPr>
            <w:r>
              <w:rPr>
                <w:b/>
                <w:bCs/>
                <w:color w:val="FFFFFF"/>
                <w:sz w:val="18"/>
                <w:szCs w:val="18"/>
              </w:rPr>
              <w:t xml:space="preserve">Implementation</w:t>
            </w:r>
          </w:p>
        </w:tc>
      </w:tr>
      <w:tr>
        <w:tc>
          <w:tcPr>
            <w:tcW w:type="dxa" w:w="3360"/>
            <w:gridSpan w:val="1"/>
            <w:tcBorders>
              <w:top w:val="single" w:color="CCCCCC" w:sz="1"/>
              <w:left w:val="single" w:color="CCCCCC" w:sz="1"/>
              <w:bottom w:val="single" w:color="CCCCCC" w:sz="1"/>
              <w:right w:val="single" w:color="CCCCCC" w:sz="1"/>
            </w:tcBorders>
            <w:shd w:fill="F0F3F5" w:val="clear"/>
            <w:tcMar>
              <w:top w:type="dxa" w:w="60"/>
              <w:left w:type="dxa" w:w="100"/>
              <w:bottom w:type="dxa" w:w="60"/>
              <w:right w:type="dxa" w:w="100"/>
            </w:tcMar>
            <w:vAlign w:val="center"/>
          </w:tcPr>
          <w:p>
            <w:pPr>
              <w:spacing w:before="20" w:after="20"/>
              <w:jc w:val="left"/>
            </w:pPr>
            <w:r>
              <w:rPr>
                <w:b/>
                <w:bCs/>
                <w:color w:val="2D3436"/>
                <w:sz w:val="17"/>
                <w:szCs w:val="17"/>
              </w:rPr>
              <w:t xml:space="preserve">Language</w:t>
            </w:r>
          </w:p>
        </w:tc>
        <w:tc>
          <w:tcPr>
            <w:tcW w:type="dxa" w:w="6720"/>
            <w:gridSpan w:val="1"/>
            <w:tcBorders>
              <w:top w:val="single" w:color="CCCCCC" w:sz="1"/>
              <w:left w:val="single" w:color="CCCCCC" w:sz="1"/>
              <w:bottom w:val="single" w:color="CCCCCC" w:sz="1"/>
              <w:right w:val="single" w:color="CCCCCC" w:sz="1"/>
            </w:tcBorders>
            <w:shd w:fill="F0F3F5" w:val="clear"/>
            <w:tcMar>
              <w:top w:type="dxa" w:w="60"/>
              <w:left w:type="dxa" w:w="100"/>
              <w:bottom w:type="dxa" w:w="60"/>
              <w:right w:type="dxa" w:w="100"/>
            </w:tcMar>
            <w:vAlign w:val="center"/>
          </w:tcPr>
          <w:p>
            <w:pPr>
              <w:spacing w:before="20" w:after="20"/>
              <w:jc w:val="left"/>
            </w:pPr>
            <w:r>
              <w:rPr>
                <w:b w:val="false"/>
                <w:bCs w:val="false"/>
                <w:color w:val="2D3436"/>
                <w:sz w:val="17"/>
                <w:szCs w:val="17"/>
              </w:rPr>
              <w:t xml:space="preserve">Rust (memory-safe, production-grade, zero-cost abstractions)</w:t>
            </w:r>
          </w:p>
        </w:tc>
      </w:tr>
      <w:tr>
        <w:tc>
          <w:tcPr>
            <w:tcW w:type="dxa" w:w="33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20" w:after="20"/>
              <w:jc w:val="left"/>
            </w:pPr>
            <w:r>
              <w:rPr>
                <w:b/>
                <w:bCs/>
                <w:color w:val="2D3436"/>
                <w:sz w:val="17"/>
                <w:szCs w:val="17"/>
              </w:rPr>
              <w:t xml:space="preserve">Consensus</w:t>
            </w:r>
          </w:p>
        </w:tc>
        <w:tc>
          <w:tcPr>
            <w:tcW w:type="dxa" w:w="672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20" w:after="20"/>
              <w:jc w:val="left"/>
            </w:pPr>
            <w:r>
              <w:rPr>
                <w:b w:val="false"/>
                <w:bCs w:val="false"/>
                <w:color w:val="2D3436"/>
                <w:sz w:val="17"/>
                <w:szCs w:val="17"/>
              </w:rPr>
              <w:t xml:space="preserve">GhostDAG with BlockDAG structure; parallel block production</w:t>
            </w:r>
          </w:p>
        </w:tc>
      </w:tr>
      <w:tr>
        <w:tc>
          <w:tcPr>
            <w:tcW w:type="dxa" w:w="3360"/>
            <w:gridSpan w:val="1"/>
            <w:tcBorders>
              <w:top w:val="single" w:color="CCCCCC" w:sz="1"/>
              <w:left w:val="single" w:color="CCCCCC" w:sz="1"/>
              <w:bottom w:val="single" w:color="CCCCCC" w:sz="1"/>
              <w:right w:val="single" w:color="CCCCCC" w:sz="1"/>
            </w:tcBorders>
            <w:shd w:fill="F0F3F5" w:val="clear"/>
            <w:tcMar>
              <w:top w:type="dxa" w:w="60"/>
              <w:left w:type="dxa" w:w="100"/>
              <w:bottom w:type="dxa" w:w="60"/>
              <w:right w:type="dxa" w:w="100"/>
            </w:tcMar>
            <w:vAlign w:val="center"/>
          </w:tcPr>
          <w:p>
            <w:pPr>
              <w:spacing w:before="20" w:after="20"/>
              <w:jc w:val="left"/>
            </w:pPr>
            <w:r>
              <w:rPr>
                <w:b/>
                <w:bCs/>
                <w:color w:val="2D3436"/>
                <w:sz w:val="17"/>
                <w:szCs w:val="17"/>
              </w:rPr>
              <w:t xml:space="preserve">Cryptography</w:t>
            </w:r>
          </w:p>
        </w:tc>
        <w:tc>
          <w:tcPr>
            <w:tcW w:type="dxa" w:w="6720"/>
            <w:gridSpan w:val="1"/>
            <w:tcBorders>
              <w:top w:val="single" w:color="CCCCCC" w:sz="1"/>
              <w:left w:val="single" w:color="CCCCCC" w:sz="1"/>
              <w:bottom w:val="single" w:color="CCCCCC" w:sz="1"/>
              <w:right w:val="single" w:color="CCCCCC" w:sz="1"/>
            </w:tcBorders>
            <w:shd w:fill="F0F3F5" w:val="clear"/>
            <w:tcMar>
              <w:top w:type="dxa" w:w="60"/>
              <w:left w:type="dxa" w:w="100"/>
              <w:bottom w:type="dxa" w:w="60"/>
              <w:right w:type="dxa" w:w="100"/>
            </w:tcMar>
            <w:vAlign w:val="center"/>
          </w:tcPr>
          <w:p>
            <w:pPr>
              <w:spacing w:before="20" w:after="20"/>
              <w:jc w:val="left"/>
            </w:pPr>
            <w:r>
              <w:rPr>
                <w:b w:val="false"/>
                <w:bCs w:val="false"/>
                <w:color w:val="2D3436"/>
                <w:sz w:val="17"/>
                <w:szCs w:val="17"/>
              </w:rPr>
              <w:t xml:space="preserve">ML-DSA (FIPS 204) for all signatures; quantum-safe from genesis</w:t>
            </w:r>
          </w:p>
        </w:tc>
      </w:tr>
      <w:tr>
        <w:tc>
          <w:tcPr>
            <w:tcW w:type="dxa" w:w="33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20" w:after="20"/>
              <w:jc w:val="left"/>
            </w:pPr>
            <w:r>
              <w:rPr>
                <w:b/>
                <w:bCs/>
                <w:color w:val="2D3436"/>
                <w:sz w:val="17"/>
                <w:szCs w:val="17"/>
              </w:rPr>
              <w:t xml:space="preserve">Mining</w:t>
            </w:r>
          </w:p>
        </w:tc>
        <w:tc>
          <w:tcPr>
            <w:tcW w:type="dxa" w:w="672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20" w:after="20"/>
              <w:jc w:val="left"/>
            </w:pPr>
            <w:r>
              <w:rPr>
                <w:b w:val="false"/>
                <w:bCs w:val="false"/>
                <w:color w:val="2D3436"/>
                <w:sz w:val="17"/>
                <w:szCs w:val="17"/>
              </w:rPr>
              <w:t xml:space="preserve">TriStream: GPU (45%) + ASIC (35%) + ZK Proving (20%)</w:t>
            </w:r>
          </w:p>
        </w:tc>
      </w:tr>
      <w:tr>
        <w:tc>
          <w:tcPr>
            <w:tcW w:type="dxa" w:w="3360"/>
            <w:gridSpan w:val="1"/>
            <w:tcBorders>
              <w:top w:val="single" w:color="CCCCCC" w:sz="1"/>
              <w:left w:val="single" w:color="CCCCCC" w:sz="1"/>
              <w:bottom w:val="single" w:color="CCCCCC" w:sz="1"/>
              <w:right w:val="single" w:color="CCCCCC" w:sz="1"/>
            </w:tcBorders>
            <w:shd w:fill="F0F3F5" w:val="clear"/>
            <w:tcMar>
              <w:top w:type="dxa" w:w="60"/>
              <w:left w:type="dxa" w:w="100"/>
              <w:bottom w:type="dxa" w:w="60"/>
              <w:right w:type="dxa" w:w="100"/>
            </w:tcMar>
            <w:vAlign w:val="center"/>
          </w:tcPr>
          <w:p>
            <w:pPr>
              <w:spacing w:before="20" w:after="20"/>
              <w:jc w:val="left"/>
            </w:pPr>
            <w:r>
              <w:rPr>
                <w:b/>
                <w:bCs/>
                <w:color w:val="2D3436"/>
                <w:sz w:val="17"/>
                <w:szCs w:val="17"/>
              </w:rPr>
              <w:t xml:space="preserve">Smart Contracts</w:t>
            </w:r>
          </w:p>
        </w:tc>
        <w:tc>
          <w:tcPr>
            <w:tcW w:type="dxa" w:w="6720"/>
            <w:gridSpan w:val="1"/>
            <w:tcBorders>
              <w:top w:val="single" w:color="CCCCCC" w:sz="1"/>
              <w:left w:val="single" w:color="CCCCCC" w:sz="1"/>
              <w:bottom w:val="single" w:color="CCCCCC" w:sz="1"/>
              <w:right w:val="single" w:color="CCCCCC" w:sz="1"/>
            </w:tcBorders>
            <w:shd w:fill="F0F3F5" w:val="clear"/>
            <w:tcMar>
              <w:top w:type="dxa" w:w="60"/>
              <w:left w:type="dxa" w:w="100"/>
              <w:bottom w:type="dxa" w:w="60"/>
              <w:right w:type="dxa" w:w="100"/>
            </w:tcMar>
            <w:vAlign w:val="center"/>
          </w:tcPr>
          <w:p>
            <w:pPr>
              <w:spacing w:before="20" w:after="20"/>
              <w:jc w:val="left"/>
            </w:pPr>
            <w:r>
              <w:rPr>
                <w:b w:val="false"/>
                <w:bCs w:val="false"/>
                <w:color w:val="2D3436"/>
                <w:sz w:val="17"/>
                <w:szCs w:val="17"/>
              </w:rPr>
              <w:t xml:space="preserve">Full EVM compatibility; Solidity deployment; standard tooling</w:t>
            </w:r>
          </w:p>
        </w:tc>
      </w:tr>
      <w:tr>
        <w:tc>
          <w:tcPr>
            <w:tcW w:type="dxa" w:w="33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20" w:after="20"/>
              <w:jc w:val="left"/>
            </w:pPr>
            <w:r>
              <w:rPr>
                <w:b/>
                <w:bCs/>
                <w:color w:val="2D3436"/>
                <w:sz w:val="17"/>
                <w:szCs w:val="17"/>
              </w:rPr>
              <w:t xml:space="preserve">Networking</w:t>
            </w:r>
          </w:p>
        </w:tc>
        <w:tc>
          <w:tcPr>
            <w:tcW w:type="dxa" w:w="672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20" w:after="20"/>
              <w:jc w:val="left"/>
            </w:pPr>
            <w:r>
              <w:rPr>
                <w:b w:val="false"/>
                <w:bCs w:val="false"/>
                <w:color w:val="2D3436"/>
                <w:sz w:val="17"/>
                <w:szCs w:val="17"/>
              </w:rPr>
              <w:t xml:space="preserve">libp2p peer-to-peer stack; Kademlia DHT for peer discovery</w:t>
            </w:r>
          </w:p>
        </w:tc>
      </w:tr>
      <w:tr>
        <w:tc>
          <w:tcPr>
            <w:tcW w:type="dxa" w:w="3360"/>
            <w:gridSpan w:val="1"/>
            <w:tcBorders>
              <w:top w:val="single" w:color="CCCCCC" w:sz="1"/>
              <w:left w:val="single" w:color="CCCCCC" w:sz="1"/>
              <w:bottom w:val="single" w:color="CCCCCC" w:sz="1"/>
              <w:right w:val="single" w:color="CCCCCC" w:sz="1"/>
            </w:tcBorders>
            <w:shd w:fill="F0F3F5" w:val="clear"/>
            <w:tcMar>
              <w:top w:type="dxa" w:w="60"/>
              <w:left w:type="dxa" w:w="100"/>
              <w:bottom w:type="dxa" w:w="60"/>
              <w:right w:type="dxa" w:w="100"/>
            </w:tcMar>
            <w:vAlign w:val="center"/>
          </w:tcPr>
          <w:p>
            <w:pPr>
              <w:spacing w:before="20" w:after="20"/>
              <w:jc w:val="left"/>
            </w:pPr>
            <w:r>
              <w:rPr>
                <w:b/>
                <w:bCs/>
                <w:color w:val="2D3436"/>
                <w:sz w:val="17"/>
                <w:szCs w:val="17"/>
              </w:rPr>
              <w:t xml:space="preserve">Storage</w:t>
            </w:r>
          </w:p>
        </w:tc>
        <w:tc>
          <w:tcPr>
            <w:tcW w:type="dxa" w:w="6720"/>
            <w:gridSpan w:val="1"/>
            <w:tcBorders>
              <w:top w:val="single" w:color="CCCCCC" w:sz="1"/>
              <w:left w:val="single" w:color="CCCCCC" w:sz="1"/>
              <w:bottom w:val="single" w:color="CCCCCC" w:sz="1"/>
              <w:right w:val="single" w:color="CCCCCC" w:sz="1"/>
            </w:tcBorders>
            <w:shd w:fill="F0F3F5" w:val="clear"/>
            <w:tcMar>
              <w:top w:type="dxa" w:w="60"/>
              <w:left w:type="dxa" w:w="100"/>
              <w:bottom w:type="dxa" w:w="60"/>
              <w:right w:type="dxa" w:w="100"/>
            </w:tcMar>
            <w:vAlign w:val="center"/>
          </w:tcPr>
          <w:p>
            <w:pPr>
              <w:spacing w:before="20" w:after="20"/>
              <w:jc w:val="left"/>
            </w:pPr>
            <w:r>
              <w:rPr>
                <w:b w:val="false"/>
                <w:bCs w:val="false"/>
                <w:color w:val="2D3436"/>
                <w:sz w:val="17"/>
                <w:szCs w:val="17"/>
              </w:rPr>
              <w:t xml:space="preserve">RocksDB for block storage; Merkle Patricia Trie for state</w:t>
            </w:r>
          </w:p>
        </w:tc>
      </w:tr>
      <w:tr>
        <w:tc>
          <w:tcPr>
            <w:tcW w:type="dxa" w:w="33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20" w:after="20"/>
              <w:jc w:val="left"/>
            </w:pPr>
            <w:r>
              <w:rPr>
                <w:b/>
                <w:bCs/>
                <w:color w:val="2D3436"/>
                <w:sz w:val="17"/>
                <w:szCs w:val="17"/>
              </w:rPr>
              <w:t xml:space="preserve">Token Standard</w:t>
            </w:r>
          </w:p>
        </w:tc>
        <w:tc>
          <w:tcPr>
            <w:tcW w:type="dxa" w:w="672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20" w:after="20"/>
              <w:jc w:val="left"/>
            </w:pPr>
            <w:r>
              <w:rPr>
                <w:b w:val="false"/>
                <w:bCs w:val="false"/>
                <w:color w:val="2D3436"/>
                <w:sz w:val="17"/>
                <w:szCs w:val="17"/>
              </w:rPr>
              <w:t xml:space="preserve">QMON native; ERC-20 wrapper on Polygon (pre-mainnet)</w:t>
            </w:r>
          </w:p>
        </w:tc>
      </w:tr>
      <w:tr>
        <w:tc>
          <w:tcPr>
            <w:tcW w:type="dxa" w:w="3360"/>
            <w:gridSpan w:val="1"/>
            <w:tcBorders>
              <w:top w:val="single" w:color="CCCCCC" w:sz="1"/>
              <w:left w:val="single" w:color="CCCCCC" w:sz="1"/>
              <w:bottom w:val="single" w:color="CCCCCC" w:sz="1"/>
              <w:right w:val="single" w:color="CCCCCC" w:sz="1"/>
            </w:tcBorders>
            <w:shd w:fill="F0F3F5" w:val="clear"/>
            <w:tcMar>
              <w:top w:type="dxa" w:w="60"/>
              <w:left w:type="dxa" w:w="100"/>
              <w:bottom w:type="dxa" w:w="60"/>
              <w:right w:type="dxa" w:w="100"/>
            </w:tcMar>
            <w:vAlign w:val="center"/>
          </w:tcPr>
          <w:p>
            <w:pPr>
              <w:spacing w:before="20" w:after="20"/>
              <w:jc w:val="left"/>
            </w:pPr>
            <w:r>
              <w:rPr>
                <w:b/>
                <w:bCs/>
                <w:color w:val="2D3436"/>
                <w:sz w:val="17"/>
                <w:szCs w:val="17"/>
              </w:rPr>
              <w:t xml:space="preserve">License</w:t>
            </w:r>
          </w:p>
        </w:tc>
        <w:tc>
          <w:tcPr>
            <w:tcW w:type="dxa" w:w="6720"/>
            <w:gridSpan w:val="1"/>
            <w:tcBorders>
              <w:top w:val="single" w:color="CCCCCC" w:sz="1"/>
              <w:left w:val="single" w:color="CCCCCC" w:sz="1"/>
              <w:bottom w:val="single" w:color="CCCCCC" w:sz="1"/>
              <w:right w:val="single" w:color="CCCCCC" w:sz="1"/>
            </w:tcBorders>
            <w:shd w:fill="F0F3F5" w:val="clear"/>
            <w:tcMar>
              <w:top w:type="dxa" w:w="60"/>
              <w:left w:type="dxa" w:w="100"/>
              <w:bottom w:type="dxa" w:w="60"/>
              <w:right w:type="dxa" w:w="100"/>
            </w:tcMar>
            <w:vAlign w:val="center"/>
          </w:tcPr>
          <w:p>
            <w:pPr>
              <w:spacing w:before="20" w:after="20"/>
              <w:jc w:val="left"/>
            </w:pPr>
            <w:r>
              <w:rPr>
                <w:b w:val="false"/>
                <w:bCs w:val="false"/>
                <w:color w:val="2D3436"/>
                <w:sz w:val="17"/>
                <w:szCs w:val="17"/>
              </w:rPr>
              <w:t xml:space="preserve">MIT (fully open-source)</w:t>
            </w:r>
          </w:p>
        </w:tc>
      </w:tr>
      <w:tr>
        <w:tc>
          <w:tcPr>
            <w:tcW w:type="dxa" w:w="336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20" w:after="20"/>
              <w:jc w:val="left"/>
            </w:pPr>
            <w:r>
              <w:rPr>
                <w:b/>
                <w:bCs/>
                <w:color w:val="2D3436"/>
                <w:sz w:val="17"/>
                <w:szCs w:val="17"/>
              </w:rPr>
              <w:t xml:space="preserve">Fee Model</w:t>
            </w:r>
          </w:p>
        </w:tc>
        <w:tc>
          <w:tcPr>
            <w:tcW w:type="dxa" w:w="672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20" w:after="20"/>
              <w:jc w:val="left"/>
            </w:pPr>
            <w:r>
              <w:rPr>
                <w:b w:val="false"/>
                <w:bCs w:val="false"/>
                <w:color w:val="2D3436"/>
                <w:sz w:val="17"/>
                <w:szCs w:val="17"/>
              </w:rPr>
              <w:t xml:space="preserve">50% burned (deflationary) / 50% to miners</w:t>
            </w:r>
          </w:p>
        </w:tc>
      </w:tr>
    </w:tbl>
    <w:p>
      <w:pPr>
        <w:spacing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none" w:sz="0"/>
              <w:left w:val="none" w:sz="0"/>
              <w:bottom w:val="none" w:sz="0"/>
              <w:right w:val="none" w:sz="0"/>
            </w:tcBorders>
            <w:shd w:fill="1A1A2E" w:val="clear"/>
            <w:tcMar>
              <w:top w:type="dxa" w:w="100"/>
              <w:left w:type="dxa" w:w="200"/>
              <w:bottom w:type="dxa" w:w="100"/>
              <w:right w:type="dxa" w:w="200"/>
            </w:tcMar>
          </w:tcPr>
          <w:p>
            <w:pPr>
              <w:spacing w:after="40"/>
              <w:jc w:val="center"/>
            </w:pPr>
            <w:r>
              <w:rPr>
                <w:b/>
                <w:bCs/>
                <w:color w:val="FFFFFF"/>
                <w:sz w:val="26"/>
                <w:szCs w:val="26"/>
              </w:rPr>
              <w:t xml:space="preserve">BUILT. NOT PROMISED.</w:t>
            </w:r>
          </w:p>
          <w:p>
            <w:pPr>
              <w:spacing w:after="0"/>
              <w:jc w:val="center"/>
            </w:pPr>
            <w:r>
              <w:rPr>
                <w:color w:val="B2BEC3"/>
                <w:sz w:val="18"/>
                <w:szCs w:val="18"/>
              </w:rPr>
              <w:t xml:space="preserve">Live testnet  •  Open-source code  •  Working block explorer  •  MIT license</w:t>
            </w:r>
          </w:p>
          <w:p>
            <w:pPr>
              <w:spacing w:after="0"/>
              <w:jc w:val="center"/>
            </w:pPr>
            <w:r>
              <w:rPr>
                <w:color w:val="B2BEC3"/>
                <w:sz w:val="18"/>
                <w:szCs w:val="18"/>
              </w:rPr>
              <w:t xml:space="preserve">IKO proceeds fund the bridge from testnet to mainnet.</w:t>
            </w:r>
          </w:p>
        </w:tc>
      </w:tr>
    </w:tbl>
    <w:p>
      <w:pPr>
        <w:spacing w:before="120"/>
        <w:jc w:val="center"/>
      </w:pPr>
      <w:r>
        <w:rPr>
          <w:i/>
          <w:iCs/>
          <w:color w:val="636E72"/>
          <w:sz w:val="15"/>
          <w:szCs w:val="15"/>
        </w:rPr>
        <w:t xml:space="preserve">CONFIDENTIAL — Prepared for Kommunitas IKO Evaluation  |  February 2026</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36E72"/>
        <w:sz w:val="15"/>
        <w:szCs w:val="15"/>
      </w:rPr>
      <w:t xml:space="preserve">Mondoshawan Protocol  |  Technical Overview  |  </w:t>
    </w:r>
    <w:r>
      <w:rPr>
        <w:color w:val="636E72"/>
        <w:sz w:val="15"/>
        <w:szCs w:val="15"/>
      </w:rPr>
      <w:t xml:space="preserve">Page </w:t>
    </w:r>
    <w:r>
      <w:rPr>
        <w:color w:val="636E72"/>
        <w:sz w:val="15"/>
        <w:szCs w:val="15"/>
      </w:rPr>
      <w:fldChar w:fldCharType="begin"/>
      <w:instrText xml:space="preserve">PAGE</w:instrText>
      <w:fldChar w:fldCharType="separate"/>
      <w:fldChar w:fldCharType="end"/>
    </w:r>
    <w:r>
      <w:rPr>
        <w:color w:val="636E72"/>
        <w:sz w:val="15"/>
        <w:szCs w:val="15"/>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1A1A2E"/>
      <w:sz w:val="28"/>
      <w:szCs w:val="28"/>
    </w:rPr>
  </w:style>
  <w:style w:type="paragraph" w:styleId="Heading2">
    <w:name w:val="Heading 2"/>
    <w:basedOn w:val="Normal"/>
    <w:next w:val="Normal"/>
    <w:qFormat/>
    <w:pPr>
      <w:spacing w:before="240" w:after="100"/>
      <w:outlineLvl w:val="1"/>
    </w:pPr>
    <w:rPr>
      <w:rFonts w:ascii="Arial" w:cs="Arial" w:eastAsia="Arial" w:hAnsi="Arial"/>
      <w:b/>
      <w:bCs/>
      <w:color w:val="0F3460"/>
      <w:sz w:val="24"/>
      <w:szCs w:val="24"/>
    </w:rPr>
  </w:style>
  <w:style w:type="paragraph" w:styleId="Heading3">
    <w:name w:val="Heading 3"/>
    <w:basedOn w:val="Normal"/>
    <w:next w:val="Normal"/>
    <w:qFormat/>
    <w:pPr>
      <w:spacing w:before="180" w:after="80"/>
      <w:outlineLvl w:val="2"/>
    </w:pPr>
    <w:rPr>
      <w:rFonts w:ascii="Arial" w:cs="Arial" w:eastAsia="Arial" w:hAnsi="Arial"/>
      <w:b/>
      <w:bCs/>
      <w:color w:val="1669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2026-02-11T23:29:02.035Z</dcterms:created>
  <dcterms:modified xsi:type="dcterms:W3CDTF">2026-02-11T23:29:02.036Z</dcterms:modified>
</cp:coreProperties>
</file>

<file path=docProps/custom.xml><?xml version="1.0" encoding="utf-8"?>
<Properties xmlns="http://schemas.openxmlformats.org/officeDocument/2006/custom-properties" xmlns:vt="http://schemas.openxmlformats.org/officeDocument/2006/docPropsVTypes"/>
</file>