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Master Clinical Intake &amp; Patient Guarantor Agreement — Final (v2)</w:t>
      </w:r>
    </w:p>
    <w:p>
      <w:r>
        <w:rPr>
          <w:sz w:val="22"/>
        </w:rPr>
        <w:t xml:space="preserve">SECTION 1: CLINICAL DESIGNATION &amp; LEGAL GUARANTOR RESPONSIBILITY</w:t>
      </w:r>
    </w:p>
    <w:p>
      <w:r>
        <w:rPr>
          <w:sz w:val="22"/>
        </w:rPr>
        <w:t xml:space="preserve">Parents / legal guardians are designated as sole financial guarantors for all scheduled therapy hours.</w:t>
      </w:r>
    </w:p>
    <w:p>
      <w:r>
        <w:rPr>
          <w:sz w:val="22"/>
        </w:rPr>
        <w:t xml:space="preserve">SECTION 2: ATTENDANCE &amp; RESERVED CLINICAL HOUR POLICY</w:t>
      </w:r>
    </w:p>
    <w:p>
      <w:r>
        <w:rPr>
          <w:sz w:val="22"/>
        </w:rPr>
        <w:t xml:space="preserve">Unscheduled missed sessions without 24-hour advance written notice are subject to the reserved clinical hour fee of $75.</w:t>
      </w:r>
    </w:p>
    <w:p>
      <w:r>
        <w:rPr>
          <w:sz w:val="22"/>
        </w:rPr>
        <w:t xml:space="preserve">SECTION 3: OBSERVATION &amp; VIDEO RECORDING AUTHORIZATION</w:t>
      </w:r>
    </w:p>
    <w:p>
      <w:r>
        <w:rPr>
          <w:sz w:val="22"/>
        </w:rPr>
        <w:t xml:space="preserve">Permits observation mirrors and therapeutic video recording strictly for home exercise demonstrations.</w:t>
      </w:r>
    </w:p>
    <w:p>
      <w:r>
        <w:rPr>
          <w:sz w:val="22"/>
        </w:rPr>
        <w:t xml:space="preserve">SECTION 4: PROGRESS EVALUATION DISCLAIMER</w:t>
      </w:r>
    </w:p>
    <w:p>
      <w:r>
        <w:rPr>
          <w:sz w:val="22"/>
        </w:rPr>
        <w:t xml:space="preserve">Progress evaluations are clinical estimates and do not constitute guaranteed medical outcomes.</w:t>
      </w:r>
    </w:p>
  </w:body>
</w:document>
</file>