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Estella Williams — Refined Q3 Leadership Memo (Final)</w:t>
      </w:r>
    </w:p>
    <w:p>
      <w:r>
        <w:rPr>
          <w:sz w:val="22"/>
        </w:rPr>
        <w:t xml:space="preserve">Polished executive memo with key metrics: 94% gross revenue retention, 18% ARR growth.</w:t>
      </w:r>
    </w:p>
  </w:body>
</w:document>
</file>