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5-Page B2B Website Copy Deck — Final (v2)</w:t>
      </w:r>
    </w:p>
    <w:p>
      <w:r>
        <w:rPr>
          <w:sz w:val="22"/>
        </w:rPr>
        <w:t xml:space="preserve">PAGE 1: Homepage positioning focused on eliminating dock dead-time.</w:t>
      </w:r>
    </w:p>
    <w:p>
      <w:r>
        <w:rPr>
          <w:sz w:val="22"/>
        </w:rPr>
        <w:t xml:space="preserve">PAGE 2: Platform features: real-time trailer tracking, automated driver manifests.</w:t>
      </w:r>
    </w:p>
    <w:p>
      <w:r>
        <w:rPr>
          <w:sz w:val="22"/>
        </w:rPr>
        <w:t xml:space="preserve">PAGE 3: Integrations: turnkey sync with EDI, SAP, and major freight TMS platforms.</w:t>
      </w:r>
    </w:p>
    <w:p>
      <w:r>
        <w:rPr>
          <w:sz w:val="22"/>
        </w:rPr>
        <w:t xml:space="preserve">PAGE 4: Security &amp; SOC2 Type II compliance disclosure.</w:t>
      </w:r>
    </w:p>
    <w:p>
      <w:r>
        <w:rPr>
          <w:sz w:val="22"/>
        </w:rPr>
        <w:t xml:space="preserve">PAGE 5: Transparent per-dock transparent pricing matrix.</w:t>
      </w:r>
    </w:p>
  </w:body>
</w:document>
</file>