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Apex Fleet &amp; Logistics — Q4 Executive Investor Update Deck (v1 Narrative Copy)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DOCUMENT: Investor Update Slide Copy &amp; Narrative Architecture (v1 Draft)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AUDIENCE: Institutional Debt Partners, Equity Holders &amp; Advisory Board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DATE: October 2026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SLIDE 1: EXECUTIVE TITLE &amp; INVESTMENT THESIS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Title: Apex Fleet &amp; Logistics — Modern Regional Freight Infrastructure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Subtitle: Q4 2026 Operational Performance &amp; Network Scale Overview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Core Thesis: Capitalizing on the nearshoring boom and cross-border manufacturing growth through asset-backed fleet discipline, proprietary dispatch technology, and industry-leading driver retention.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SLIDE 2: THE APEX OPERATING ADVANTAGE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Key Pillars: 142 late-model tractors, 380 dry/reefer trailers, 3 regional hubs, and 99.1% on-time service standard. Our asset density across the Midwest-to-Gulf corridor creates unbeatable backhaul economics.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SLIDE 3: FINANCIAL PERFORMANCE OVERVIEW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Q3 2026 Revenue reached $18.42M (+22.4% YoY) with Adjusted EBITDA of $2.62M (14.2% margin). Operating Ratio tightened to 87.8%. Full-year 2026 revenue is on track to surpass $72M.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SLIDE 4: NETWORK MAP &amp; TERMINAL CAPACITY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Strategic coverage across Chicago (Northern Gateway), Dallas-Fort Worth (Texas Corridor), and incoming Memphis (Mid-South Rail Interchange).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SLIDE 5: 2027 GROWTH CATALYSTS &amp; CAPITAL ALLOCATION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Deploying $4.2M in Memphis hub build-out, expanding dedicated customer fleets, and scaling logistics technology to reach $100M ARR by 2028.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Apex Fleet &amp; Logistics — Q4 Executive Investor Update Deck (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