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Williams Agency Group — Q4 Board Meeting Rough Notes &amp; Key Figures</w:t>
      </w:r>
    </w:p>
    <w:p>
      <w:r>
        <w:rPr>
          <w:sz w:val="22"/>
        </w:rPr>
        <w:t xml:space="preserve">Meeting Date: Late October 2026 Advisory Board Meeting.</w:t>
      </w:r>
    </w:p>
    <w:p>
      <w:r>
        <w:rPr>
          <w:sz w:val="22"/>
        </w:rPr>
        <w:t xml:space="preserve">Q3 Financials: Gross client billing reached $1.84M (+18% YoY). Contracted ARR sits at $2.2M.</w:t>
      </w:r>
    </w:p>
    <w:p>
      <w:r>
        <w:rPr>
          <w:sz w:val="22"/>
        </w:rPr>
        <w:t xml:space="preserve">CAC &amp; Retention: Customer acquisition cost ticked up 14% due to paid search competition, but 60-day cohort retention improved from 76% to 89%.</w:t>
      </w:r>
    </w:p>
    <w:p>
      <w:r>
        <w:rPr>
          <w:sz w:val="22"/>
        </w:rPr>
        <w:t xml:space="preserve">Liquidity Runway: Current cash reserves provide runway through Q2 2027 under conservative $1.4M burn rate, or Q4 2027 under baseline $1.1M burn.</w:t>
      </w:r>
    </w:p>
    <w:p>
      <w:r>
        <w:rPr>
          <w:sz w:val="22"/>
        </w:rPr>
        <w:t xml:space="preserve">2027 Hiring: Need board sign-off to recruit VP of Enterprise Sales and 2 Senior Account Directors in Q1.</w:t>
      </w:r>
    </w:p>
  </w:body>
</w:document>
</file>