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Williams Agency Group — 16-Slide Executive Investor Presentation (v1 Draft)</w:t>
      </w:r>
    </w:p>
    <w:p>
      <w:r>
        <w:rPr>
          <w:sz w:val="22"/>
        </w:rPr>
        <w:t xml:space="preserve">SLIDE 1: Title &amp; Executive Overview — Q4 2026 Board Review &amp; Capital Allocation.</w:t>
      </w:r>
    </w:p>
    <w:p>
      <w:r>
        <w:rPr>
          <w:sz w:val="22"/>
        </w:rPr>
        <w:t xml:space="preserve">SLIDE 2-5: Q3 Performance Summary — GAAP Revenue vs Contracted ARR Breakdown.</w:t>
      </w:r>
    </w:p>
    <w:p>
      <w:r>
        <w:rPr>
          <w:sz w:val="22"/>
        </w:rPr>
        <w:t xml:space="preserve">SLIDE 6: Sales Efficiency — Blended Customer Acquisition Cost vs 60-Day Cohort Retention.</w:t>
      </w:r>
    </w:p>
    <w:p>
      <w:r>
        <w:rPr>
          <w:sz w:val="22"/>
        </w:rPr>
        <w:t xml:space="preserve">SLIDE 7-10: 2027 Expansion Roadmap — Headcount Growth &amp; Regional Account Delivery.</w:t>
      </w:r>
    </w:p>
    <w:p>
      <w:r>
        <w:rPr>
          <w:sz w:val="22"/>
        </w:rPr>
        <w:t xml:space="preserve">SLIDE 11-14: Financial Modeling — Dual Scenario Liquidity Runway (Conservative vs Baseline).</w:t>
      </w:r>
    </w:p>
    <w:p>
      <w:r>
        <w:rPr>
          <w:sz w:val="22"/>
        </w:rPr>
        <w:t xml:space="preserve">SLIDE 15-16: Governance &amp; Board Action Items — Resolution to Authorize 2027 Key Hires.</w:t>
      </w:r>
    </w:p>
  </w:body>
</w:document>
</file>