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Lina Rickert Apparel — Spring Product Launch Copy &amp; Storefront FAQ</w:t>
      </w:r>
    </w:p>
    <w:p>
      <w:r>
        <w:rPr>
          <w:sz w:val="22"/>
        </w:rPr>
        <w:t xml:space="preserve">1. SPRING COLLECTION PRODUCT DESCRIPTIONS: Editorial product storytelling for 12 apparel SKUs.</w:t>
      </w:r>
    </w:p>
    <w:p>
      <w:r>
        <w:rPr>
          <w:sz w:val="22"/>
        </w:rPr>
        <w:t xml:space="preserve">2. SIZING &amp; FIT GUIDE: Clear fit descriptions, fabric breathability ratings, and model measurement cards.</w:t>
      </w:r>
    </w:p>
    <w:p>
      <w:r>
        <w:rPr>
          <w:sz w:val="22"/>
        </w:rPr>
        <w:t xml:space="preserve">3. STOREFRONT CUSTOMER FAQ: Delivery windows, exchange policy, and organic linen garment care guidelines.</w:t>
      </w:r>
    </w:p>
  </w:body>
</w:document>
</file>