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Q4 Executive Board Briefing Memo — Estella Williams (Final)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CONFIDENTIAL BOARD OF DIRECTORS BRIEFING MEMO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Date: October 21, 2026 · Terminal Operations &amp; Logistics Inc. · Executive Governance Record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TO: Board of Directors, Terminal Operations &amp; Logistics Inc.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FROM: Estella Williams, Founder &amp; Chief Executive Officer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Q3 2026 Operational Performance, Financial Trajectory, and Series A Capital Formation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1: EXECUTIVE OVERVIEW &amp; Q3 PERFORMANCE SNAPSHOT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During the third quarter of fiscal year 2026, the company demonstrated sustained operational acceleration across its core enterprise yard and terminal logistics platform. We concluded Q3 at $4,200,000 in Annual Recurring Revenue (ARR), representing an 18.2% quarter-over-quarter expansion and 142% net growth year-over-year. Mid-market enterprise carrier adoption accelerated across our priority freight corridors (Midwest, Texas, and Pacific Northwest), driven by demonstrable customer ROI in demurrage and dock detention prevention.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2: FINANCIAL RECONCILIATION &amp; TRAJECTORY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Gross margin expanded 120 basis points to 77.2%, reflecting infrastructure efficiency gains from automated optical character recognition (OCR) of bills of lading and container drayage interchange receipts. Hosting cost per terminal fell from $142/mo to $84/mo. Ending cash balance stood at $4,420,000 with 18.2 months runway at current net burn.</w:t>
      </w:r>
    </w:p>
    <w:tbl>
      <w:tblPr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E2E8F0"/>
          <w:insideV w:val="none"/>
        </w:tblBorders>
        <w:tblW w:w="5000" w:type="pct"/>
      </w:tblPr>
      <w:tr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Financial Metric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Q1 2026 Actual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Q2 2026 Actual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Q3 2026 Actual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Q4 2026 Target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YoY Expansion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Annual Recurring Revenue (ARR)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$2,800,000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$3,450,000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$4,200,000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$5,100,000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+142.8%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Active Logistics Terminals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38 Terminals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51 Terminals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65 Terminals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84 Terminals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+128.5%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Gross Profit Margin 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73.4%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76.0%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77.2%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78.5%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+380 bps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Average Monthly Net Burn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$118,000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$104,000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$94,000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$90,000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-23.7%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Cash &amp; Liquid Reserves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$4,920,000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$4,680,000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$4,420,000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$4,150,000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18.2 Mo Runway</w:t>
            </w:r>
          </w:p>
        </w:tc>
      </w:tr>
    </w:tbl>
    <w:p>
      <w:pPr>
        <w:spacing w:after="100"/>
      </w:pPr>
    </w:p>
    <w:p>
      <w:pPr>
        <w:spacing w:before="240" w:after="80"/>
      </w:pPr>
      <w:r>
        <w:rPr>
          <w:b/>
          <w:color w:val="0F172A"/>
          <w:sz w:val="24"/>
        </w:rPr>
        <w:t xml:space="preserve">SECTION 3: ENTERPRISE CUSTOMER COHORT HEALTH &amp; NET RETENTION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Gross Revenue Retention (GRR) remained steady at 96.4%, while Net Revenue Retention (NRR) reached 114.2%. Over the past six consecutive quarters, we have experienced zero enterprise logo churn. Customer payback period on fully loaded CAC ($480/terminal) remains under 8 months against an average annual customer value of $6,084.</w:t>
      </w:r>
    </w:p>
    <w:tbl>
      <w:tblPr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E2E8F0"/>
          <w:insideV w:val="none"/>
        </w:tblBorders>
        <w:tblW w:w="5000" w:type="pct"/>
      </w:tblPr>
      <w:tr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Customer Tier Segment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Active Logos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Ending ARR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GRR %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NRR %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Avg Demurrage Saved / Mo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Tier 1: Enterprise 3PLs (10+ yards)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4 Fleets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$1,480,000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100.0%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124.0%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$14,800 / Facility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Tier 2: Mid-Market Regional (3–9 yards)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11 Fleets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$1,840,000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96.5%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112.5%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$8,200 / Facility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Tier 3: Single Terminal Hubs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22 Fleets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$880,000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94.2%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102.0%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$4,100 / Facility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Consolidated Portfolio Total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37 Fleets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$4,200,000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96.4%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114.2%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$9,450 Average</w:t>
            </w:r>
          </w:p>
        </w:tc>
      </w:tr>
    </w:tbl>
    <w:p>
      <w:pPr>
        <w:spacing w:after="100"/>
      </w:pPr>
    </w:p>
    <w:p>
      <w:pPr>
        <w:spacing w:after="140" w:line="276" w:lineRule="auto"/>
      </w:pPr>
      <w:r>
        <w:rPr>
          <w:color w:val="1E293B"/>
          <w:sz w:val="21"/>
        </w:rPr>
        <w:t xml:space="preserve">Apex Cold Storage Case Study: Apex expanded their pilot deployment from 3 to 14 distribution centers during Q3, documenting an average savings of $14,800/month per terminal in avoided driver detention claims and achieving full software payback in 28 days.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SECTION 4: FY 2027 GATED HEADCOUNT ROSTER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Headcount additions for FY 2027 are subject to strict ARR revenue gating milestones. No role may be posted or contracted prior to hitting the specified gate trigger.</w:t>
      </w:r>
    </w:p>
    <w:tbl>
      <w:tblPr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E2E8F0"/>
          <w:insideV w:val="none"/>
        </w:tblBorders>
        <w:tblW w:w="5000" w:type="pct"/>
      </w:tblPr>
      <w:tr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Department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Target Role Title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Planned Quarter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ARR Gate Trigger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Fully Loaded Comp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Option Pool %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Sales &amp; Commercial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VP Enterprise Sales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Q1 2027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$4,800,000 ARR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$260,000 + Comm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1.25% Stock Pool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Operations &amp; Support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Lead Logistics Dispatcher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Q1 2027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$4,600,000 ARR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$85,000 Base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0.15% Stock Pool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Operations &amp; Support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Customer Operations Associate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Q1 2027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$4,600,000 ARR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$70,000 Base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0.10% Stock Pool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Finance &amp; Accounting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Billing &amp; Accounts Specialist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Q2 2027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$5,200,000 ARR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$78,000 Base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0.10% Stock Pool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Engineering Pod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Staff Distributed Systems Eng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Q2 2027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$5,200,000 ARR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$195,000 Base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0.40% Stock Pool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Commercial Sales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Enterprise Account Executive (2)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Q2 2027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$5,400,000 ARR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$120,000 + Comm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0.20% Stock Pool</w:t>
            </w:r>
          </w:p>
        </w:tc>
      </w:tr>
    </w:tbl>
    <w:p>
      <w:pPr>
        <w:spacing w:after="100"/>
      </w:pPr>
    </w:p>
    <w:p>
      <w:pPr>
        <w:spacing w:before="240" w:after="80"/>
      </w:pPr>
      <w:r>
        <w:rPr>
          <w:b/>
          <w:color w:val="0F172A"/>
          <w:sz w:val="24"/>
        </w:rPr>
        <w:t xml:space="preserve">SECTION 5: SERIES A CAPITAL FORMATION &amp; USE OF FUNDS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We are initiating preliminary discussions for a $4,500,000 Series A funding round targeted for Q1 2027. Proceeds will be deployed strictly into growth drivers with measurable unit economics.</w:t>
      </w:r>
    </w:p>
    <w:tbl>
      <w:tblPr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E2E8F0"/>
          <w:insideV w:val="none"/>
        </w:tblBorders>
        <w:tblW w:w="5000" w:type="pct"/>
      </w:tblPr>
      <w:tr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Capital Allocation Category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Capital Amount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Percentage</w:t>
            </w:r>
          </w:p>
        </w:tc>
        <w:tc>
          <w:tcPr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b/>
                <w:color w:val="0F172A"/>
                <w:sz w:val="19"/>
              </w:rPr>
              <w:t xml:space="preserve">Strategic Focus &amp; Milestone Deliverable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Distributed Engineering Engine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$2,475,000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55.0%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Build autonomous yard dispatch AI and Blue Yonder native connector</w:t>
            </w:r>
          </w:p>
        </w:tc>
      </w:tr>
      <w:tr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Enterprise Sales &amp; GTM Expansion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$1,350,000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30.0%</w:t>
            </w:r>
          </w:p>
        </w:tc>
        <w:tc>
          <w:tcPr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Hire 4 Enterprise AEs and expand into California &amp; Southeast hubs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Regulatory &amp; Balance Sheet Reserve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$675,000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15.0%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20" w:before="20"/>
            </w:pPr>
            <w:r>
              <w:rPr>
                <w:color w:val="334155"/>
                <w:sz w:val="19"/>
              </w:rPr>
              <w:t xml:space="preserve">Maintain 24-month minimum cash buffer through profitability</w:t>
            </w:r>
          </w:p>
        </w:tc>
      </w:tr>
    </w:tbl>
    <w:p>
      <w:pPr>
        <w:spacing w:after="100"/>
      </w:pPr>
    </w:p>
    <w:p>
      <w:pPr>
        <w:spacing w:before="240" w:after="80"/>
      </w:pPr>
      <w:r>
        <w:rPr>
          <w:b/>
          <w:color w:val="0F172A"/>
          <w:sz w:val="24"/>
        </w:rPr>
        <w:t xml:space="preserve">SECTION 6: ITEMS SUBMITTED FOR FORMAL BOARD APPROVAL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1. Formal adoption of the FY 2027 Annual Operating Plan and Gated Headcount Budget as outlined in Section 4.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2. Authorization to expand the employee stock option pool by 3.5% to accommodate senior executive recruiting.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3. Approval of minutes from the July 16, 2026, quarterly board meeting.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Respectfully submitted, Estella Williams, Founder &amp; Chief Executive Officer</w:t>
      </w:r>
    </w:p>
  </w:body>
</w:document>
</file>