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Calibri" w:hAnsi="Calibri"/>
          <w:b/>
          <w:color w:val="0F172A"/>
          <w:sz w:val="44"/>
        </w:rPr>
        <w:t>Williams Logistics Network — Executive Board Memorandum (Q4 Strategic Review)</w:t>
      </w:r>
    </w:p>
    <w:p>
      <w:pPr>
        <w:spacing w:before="0" w:after="120" w:line="276" w:lineRule="auto"/>
      </w:pPr>
      <w:r>
        <w:rPr>
          <w:rFonts w:ascii="Calibri" w:hAnsi="Calibri"/>
          <w:color w:val="1E293B"/>
          <w:sz w:val="20"/>
        </w:rPr>
        <w:t>TO: Board of Directors, Williams Logistics Network Inc.</w:t>
      </w:r>
    </w:p>
    <w:p>
      <w:pPr>
        <w:spacing w:before="0" w:after="120" w:line="276" w:lineRule="auto"/>
      </w:pPr>
      <w:r>
        <w:rPr>
          <w:rFonts w:ascii="Calibri" w:hAnsi="Calibri"/>
          <w:color w:val="1E293B"/>
          <w:sz w:val="20"/>
        </w:rPr>
        <w:t>FROM: Estella Williams, Founder &amp; Chief Executive Officer</w:t>
      </w:r>
    </w:p>
    <w:p>
      <w:pPr>
        <w:spacing w:before="0" w:after="120" w:line="276" w:lineRule="auto"/>
      </w:pPr>
      <w:r>
        <w:rPr>
          <w:rFonts w:ascii="Calibri" w:hAnsi="Calibri"/>
          <w:color w:val="1E293B"/>
          <w:sz w:val="20"/>
        </w:rPr>
        <w:t>DATE: October 14, 2026</w:t>
      </w:r>
    </w:p>
    <w:p>
      <w:pPr>
        <w:spacing w:before="0" w:after="120" w:line="276" w:lineRule="auto"/>
      </w:pPr>
      <w:r>
        <w:rPr>
          <w:rFonts w:ascii="Calibri" w:hAnsi="Calibri"/>
          <w:color w:val="1E293B"/>
          <w:sz w:val="20"/>
        </w:rPr>
        <w:t>SUBJECT: Q4 2026 Operational Review, Financial Performance &amp; FY2027 Capital Budget</w:t>
      </w:r>
    </w:p>
    <w:p>
      <w:r>
        <w:br w:type="page"/>
      </w:r>
    </w:p>
    <w:p>
      <w:pPr>
        <w:keepNext/>
        <w:spacing w:before="280" w:after="80"/>
      </w:pPr>
      <w:r>
        <w:rPr>
          <w:rFonts w:ascii="Calibri" w:hAnsi="Calibri"/>
          <w:b/>
          <w:color w:val="0F172A"/>
          <w:sz w:val="26"/>
        </w:rPr>
        <w:t>1. EXECUTIVE SUMMARY &amp; STRATEGIC HIGHLIGHTS</w:t>
      </w:r>
    </w:p>
    <w:p>
      <w:pPr>
        <w:spacing w:before="0" w:after="120" w:line="276" w:lineRule="auto"/>
      </w:pPr>
      <w:r>
        <w:rPr>
          <w:rFonts w:ascii="Calibri" w:hAnsi="Calibri"/>
          <w:color w:val="1E293B"/>
          <w:sz w:val="20"/>
        </w:rPr>
        <w:t>I am pleased to report that Williams Logistics Network achieved record financial and operational milestones during the third quarter of fiscal year 2026. Annual Recurring Revenue (ARR) reached $4,210,000, representing an 18.2% quarter-over-quarter expansion and 50.3% year-over-year growth against our FY2025 baseline.</w:t>
      </w:r>
    </w:p>
    <w:p>
      <w:pPr>
        <w:spacing w:before="0" w:after="120" w:line="276" w:lineRule="auto"/>
      </w:pPr>
      <w:r>
        <w:rPr>
          <w:rFonts w:ascii="Calibri" w:hAnsi="Calibri"/>
          <w:color w:val="1E293B"/>
          <w:sz w:val="20"/>
        </w:rPr>
        <w:t>Our Net Revenue Retention (NRR) closed at 114.2% across our core mid-market enterprise carrier tier, driven primarily by volume tier upgrades as our customers expanded DockDoor 2.0 deployments across their regional warehouse footprints. Most importantly, enterprise customer logo churn remained at 0.0% for the sixth consecutive quarter.</w:t>
      </w:r>
    </w:p>
    <w:p>
      <w:pPr>
        <w:keepNext/>
        <w:spacing w:before="280" w:after="80"/>
      </w:pPr>
      <w:r>
        <w:rPr>
          <w:rFonts w:ascii="Calibri" w:hAnsi="Calibri"/>
          <w:b/>
          <w:color w:val="0F172A"/>
          <w:sz w:val="26"/>
        </w:rPr>
        <w:t>2. FINANCIAL ACTUALS &amp; ARR EXPANSION BRIDGE</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Financial Metric</w:t>
            </w:r>
          </w:p>
        </w:tc>
        <w:tc>
          <w:tcPr>
            <w:tcW w:type="dxa" w:w="156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Q1 2026 Actual</w:t>
            </w:r>
          </w:p>
        </w:tc>
        <w:tc>
          <w:tcPr>
            <w:tcW w:type="dxa" w:w="156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Q2 2026 Actual</w:t>
            </w:r>
          </w:p>
        </w:tc>
        <w:tc>
          <w:tcPr>
            <w:tcW w:type="dxa" w:w="156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Q3 2026 Actual</w:t>
            </w:r>
          </w:p>
        </w:tc>
        <w:tc>
          <w:tcPr>
            <w:tcW w:type="dxa" w:w="156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Q4 2026 Target</w:t>
            </w:r>
          </w:p>
        </w:tc>
        <w:tc>
          <w:tcPr>
            <w:tcW w:type="dxa" w:w="1560"/>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FY2027 Budget</w:t>
            </w:r>
          </w:p>
        </w:tc>
      </w:tr>
      <w:tr>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Contracted ARR</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$2,800,000</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$3,420,000</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$4,210,000</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$5,100,000</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$6,800,000</w:t>
            </w:r>
          </w:p>
        </w:tc>
      </w:tr>
      <w:tr>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Quarterly GAAP Revenue</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$680,000</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$820,000</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$1,020,000</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$1,240,000</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$1,650,000</w:t>
            </w:r>
          </w:p>
        </w:tc>
      </w:tr>
      <w:tr>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Gross Profit Margin</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75.4%</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77.1%</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78.4%</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79.0%</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80.5%</w:t>
            </w:r>
          </w:p>
        </w:tc>
      </w:tr>
      <w:tr>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Net Revenue Retention (NRR)</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111.8%</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112.5%</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114.2%</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115.0%</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116.5%</w:t>
            </w:r>
          </w:p>
        </w:tc>
      </w:tr>
      <w:tr>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Active Terminal Deployments</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128 Hubs</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154 Hubs</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180 Hubs</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215 Hubs</w:t>
            </w:r>
          </w:p>
        </w:tc>
        <w:tc>
          <w:tcPr>
            <w:tcW w:type="dxa" w:w="1560"/>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310 Hubs</w:t>
            </w:r>
          </w:p>
        </w:tc>
      </w:tr>
      <w:tr>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Average Contract Value (ACV)</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$21,875</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$22,200</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$23,388</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$23,720</w:t>
            </w:r>
          </w:p>
        </w:tc>
        <w:tc>
          <w:tcPr>
            <w:tcW w:type="dxa" w:w="1560"/>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$24,500</w:t>
            </w:r>
          </w:p>
        </w:tc>
      </w:tr>
    </w:tbl>
    <w:p>
      <w:pPr>
        <w:spacing w:before="0" w:after="160"/>
      </w:pPr>
    </w:p>
    <w:p>
      <w:pPr>
        <w:keepNext/>
        <w:spacing w:before="280" w:after="80"/>
      </w:pPr>
      <w:r>
        <w:rPr>
          <w:rFonts w:ascii="Calibri" w:hAnsi="Calibri"/>
          <w:b/>
          <w:color w:val="0F172A"/>
          <w:sz w:val="26"/>
        </w:rPr>
        <w:t>3. UNIT ECONOMICS &amp; PRODUCT MARGIN EVOLUTION</w:t>
      </w:r>
    </w:p>
    <w:p>
      <w:pPr>
        <w:spacing w:before="0" w:after="120" w:line="276" w:lineRule="auto"/>
      </w:pPr>
      <w:r>
        <w:rPr>
          <w:rFonts w:ascii="Calibri" w:hAnsi="Calibri"/>
          <w:color w:val="1E293B"/>
          <w:sz w:val="20"/>
        </w:rPr>
        <w:t>Our hardware-agnostic API platform architecture continues to deliver pure software margins. Cost of Goods Sold (COGS) consists solely of AWS cloud infrastructure, Twilio driver SMS notification routing, and automated document OCR indexing. Gross margins expanded from 75.4% in Q1 to 78.4% in Q3, with a clear trajectory toward 80%+ at scale.</w:t>
      </w:r>
    </w:p>
    <w:p>
      <w:pPr>
        <w:spacing w:before="0" w:after="120" w:line="276" w:lineRule="auto"/>
      </w:pPr>
      <w:r>
        <w:rPr>
          <w:rFonts w:ascii="Calibri" w:hAnsi="Calibri"/>
          <w:color w:val="1E293B"/>
          <w:sz w:val="20"/>
        </w:rPr>
        <w:t>Customer Acquisition Cost (CAC) averaged $5,920 per contracted terminal network, yielding a healthy 6.2-month cash payback period against an estimated 5-year Customer Lifetime Value (LTV) exceeding $115,000 (LTV:CAC ratio of 5.4x).</w:t>
      </w:r>
    </w:p>
    <w:p>
      <w:r>
        <w:br w:type="page"/>
      </w:r>
    </w:p>
    <w:p>
      <w:pPr>
        <w:keepNext/>
        <w:spacing w:before="280" w:after="80"/>
      </w:pPr>
      <w:r>
        <w:rPr>
          <w:rFonts w:ascii="Calibri" w:hAnsi="Calibri"/>
          <w:b/>
          <w:color w:val="0F172A"/>
          <w:sz w:val="26"/>
        </w:rPr>
        <w:t>4. PRODUCT INNOVATION: DOCKDOOR 2.0 ROLLOUT</w:t>
      </w:r>
    </w:p>
    <w:p>
      <w:pPr>
        <w:spacing w:before="0" w:after="120" w:line="276" w:lineRule="auto"/>
      </w:pPr>
      <w:r>
        <w:rPr>
          <w:rFonts w:ascii="Calibri" w:hAnsi="Calibri"/>
          <w:color w:val="1E293B"/>
          <w:sz w:val="20"/>
        </w:rPr>
        <w:t>During Q3, our engineering organization successfully completed general availability (GA) rollout of DockDoor 2.0, introducing automated cross-dock gate sequencing and mobile sign-on-glass electronic bills of lading (e-BOL).</w:t>
      </w:r>
    </w:p>
    <w:p>
      <w:pPr>
        <w:spacing w:before="0" w:after="120" w:line="276" w:lineRule="auto"/>
      </w:pPr>
      <w:r>
        <w:rPr>
          <w:rFonts w:ascii="Calibri" w:hAnsi="Calibri"/>
          <w:color w:val="1E293B"/>
          <w:sz w:val="20"/>
        </w:rPr>
        <w:t>Core Architectural Advancements:</w:t>
      </w:r>
    </w:p>
    <w:p>
      <w:pPr>
        <w:pStyle w:val="ListBullet"/>
        <w:spacing w:before="0" w:after="60" w:line="276" w:lineRule="auto"/>
      </w:pPr>
      <w:r>
        <w:rPr>
          <w:rFonts w:ascii="Calibri" w:hAnsi="Calibri"/>
          <w:color w:val="1E293B"/>
          <w:sz w:val="20"/>
        </w:rPr>
        <w:t>Geofenced Perimeter Arrival Alerts: Trucks entering a 2-mile terminal radius automatically alert frontline dispatch, pre-allocating bay doors before the tractor hits the security gate.</w:t>
      </w:r>
    </w:p>
    <w:p>
      <w:pPr>
        <w:pStyle w:val="ListBullet"/>
        <w:spacing w:before="0" w:after="60" w:line="276" w:lineRule="auto"/>
      </w:pPr>
      <w:r>
        <w:rPr>
          <w:rFonts w:ascii="Calibri" w:hAnsi="Calibri"/>
          <w:color w:val="1E293B"/>
          <w:sz w:val="20"/>
        </w:rPr>
        <w:t>Demurrage Countdown Timers: Automated alerts notify yard jockeys 45 minutes prior to detention penalty accrual, eliminating $184,000 in carrier detention claims across our pilot cohort.</w:t>
      </w:r>
    </w:p>
    <w:p>
      <w:pPr>
        <w:pStyle w:val="ListBullet"/>
        <w:spacing w:before="0" w:after="60" w:line="276" w:lineRule="auto"/>
      </w:pPr>
      <w:r>
        <w:rPr>
          <w:rFonts w:ascii="Calibri" w:hAnsi="Calibri"/>
          <w:color w:val="1E293B"/>
          <w:sz w:val="20"/>
        </w:rPr>
        <w:t>Zero-App Mobile Container: Frontline drivers access terminal check-in via lightweight browser sessions, eliminating driver onboarding friction and achieving 98.6% compliance on day one.</w:t>
      </w:r>
    </w:p>
    <w:p>
      <w:pPr>
        <w:keepNext/>
        <w:spacing w:before="280" w:after="80"/>
      </w:pPr>
      <w:r>
        <w:rPr>
          <w:rFonts w:ascii="Calibri" w:hAnsi="Calibri"/>
          <w:b/>
          <w:color w:val="0F172A"/>
          <w:sz w:val="26"/>
        </w:rPr>
        <w:t>5. FY 2027 CAPITAL ALLOCATION &amp; RESOLUTIONS REQUESTED</w:t>
      </w:r>
    </w:p>
    <w:p>
      <w:pPr>
        <w:spacing w:before="0" w:after="120" w:line="276" w:lineRule="auto"/>
      </w:pPr>
      <w:r>
        <w:rPr>
          <w:rFonts w:ascii="Calibri" w:hAnsi="Calibri"/>
          <w:color w:val="1E293B"/>
          <w:sz w:val="20"/>
        </w:rPr>
        <w:t>We maintain $3,120,000 in cash reserves. At our current net monthly burn rate of $58,000, our balance sheet provides over 24 months of operational runway without requiring external equity financing. We project achieving operational cash flow breakeven in Q2 2027.</w:t>
      </w:r>
    </w:p>
    <w:p>
      <w:pPr>
        <w:spacing w:before="0" w:after="120" w:line="276" w:lineRule="auto"/>
      </w:pPr>
      <w:r>
        <w:rPr>
          <w:rFonts w:ascii="Calibri" w:hAnsi="Calibri"/>
          <w:color w:val="1E293B"/>
          <w:sz w:val="20"/>
        </w:rPr>
        <w:t>Board Action Items Requested for Formal Approval:</w:t>
      </w:r>
    </w:p>
    <w:p>
      <w:pPr>
        <w:spacing w:before="0" w:after="120" w:line="276" w:lineRule="auto"/>
      </w:pPr>
      <w:r>
        <w:rPr>
          <w:rFonts w:ascii="Calibri" w:hAnsi="Calibri"/>
          <w:color w:val="1E293B"/>
          <w:sz w:val="20"/>
        </w:rPr>
        <w:t>1. Approval of FY 2027 Operating Plan targeting $6.8M ARR and 310 terminal hubs.</w:t>
      </w:r>
    </w:p>
    <w:p>
      <w:pPr>
        <w:spacing w:before="0" w:after="120" w:line="276" w:lineRule="auto"/>
      </w:pPr>
      <w:r>
        <w:rPr>
          <w:rFonts w:ascii="Calibri" w:hAnsi="Calibri"/>
          <w:color w:val="1E293B"/>
          <w:sz w:val="20"/>
        </w:rPr>
        <w:t>2. Ratification of 3.0% unallocated common stock option pool expansion for technical engineering hires.</w:t>
      </w:r>
    </w:p>
    <w:p>
      <w:pPr>
        <w:spacing w:before="0" w:after="120" w:line="276" w:lineRule="auto"/>
      </w:pPr>
      <w:r>
        <w:rPr>
          <w:rFonts w:ascii="Calibri" w:hAnsi="Calibri"/>
          <w:color w:val="1E293B"/>
          <w:sz w:val="20"/>
        </w:rPr>
        <w:t>3. Confirmation of the next scheduled Board of Directors Meeting for Thursday, January 21, 2027.</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Williams Logistics Network — Executive Board Memorandum (Q4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