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Calibri" w:hAnsi="Calibri"/>
          <w:b/>
          <w:color w:val="0F172A"/>
          <w:sz w:val="44"/>
        </w:rPr>
        <w:t>ValdaceAI Enterprise Platform — Technical Specifications, Editorial Engine &amp; API Architecture</w:t>
      </w:r>
    </w:p>
    <w:p>
      <w:pPr>
        <w:spacing w:before="0" w:after="120" w:line="276" w:lineRule="auto"/>
      </w:pPr>
      <w:r>
        <w:rPr>
          <w:rFonts w:ascii="Calibri" w:hAnsi="Calibri"/>
          <w:color w:val="1E293B"/>
          <w:sz w:val="20"/>
        </w:rPr>
        <w:t>ORGANIZATION: ValdaceAI Technologies LLC · Enterprise Editorial Intelligence</w:t>
      </w:r>
    </w:p>
    <w:p>
      <w:pPr>
        <w:spacing w:before="0" w:after="120" w:line="276" w:lineRule="auto"/>
      </w:pPr>
      <w:r>
        <w:rPr>
          <w:rFonts w:ascii="Calibri" w:hAnsi="Calibri"/>
          <w:color w:val="1E293B"/>
          <w:sz w:val="20"/>
        </w:rPr>
        <w:t>SYSTEM ARCHITECT: Victor Mawira, Lead AI Systems Engineer</w:t>
      </w:r>
    </w:p>
    <w:p>
      <w:pPr>
        <w:spacing w:before="0" w:after="120" w:line="276" w:lineRule="auto"/>
      </w:pPr>
      <w:r>
        <w:rPr>
          <w:rFonts w:ascii="Calibri" w:hAnsi="Calibri"/>
          <w:color w:val="1E293B"/>
          <w:sz w:val="20"/>
        </w:rPr>
        <w:t>PROJECT: High-Throughput Neural Content Humanization &amp; Stylistic Governance Pipeline</w:t>
      </w:r>
    </w:p>
    <w:p>
      <w:pPr>
        <w:spacing w:before="0" w:after="120" w:line="276" w:lineRule="auto"/>
      </w:pPr>
      <w:r>
        <w:rPr>
          <w:rFonts w:ascii="Calibri" w:hAnsi="Calibri"/>
          <w:color w:val="1E293B"/>
          <w:sz w:val="20"/>
        </w:rPr>
        <w:t>DOCUMENT VERSION: 2.4 System Specifications &amp; Production Calibration Manual</w:t>
      </w:r>
    </w:p>
    <w:p>
      <w:r>
        <w:br w:type="page"/>
      </w:r>
    </w:p>
    <w:p>
      <w:pPr>
        <w:keepNext/>
        <w:spacing w:before="280" w:after="80"/>
      </w:pPr>
      <w:r>
        <w:rPr>
          <w:rFonts w:ascii="Calibri" w:hAnsi="Calibri"/>
          <w:b/>
          <w:color w:val="0F172A"/>
          <w:sz w:val="26"/>
        </w:rPr>
        <w:t>SECTION 1: ARCHITECTURAL OVERVIEW &amp; PROBLEM STATEMENT</w:t>
      </w:r>
    </w:p>
    <w:p>
      <w:pPr>
        <w:spacing w:before="0" w:after="120" w:line="276" w:lineRule="auto"/>
      </w:pPr>
      <w:r>
        <w:rPr>
          <w:rFonts w:ascii="Calibri" w:hAnsi="Calibri"/>
          <w:color w:val="1E293B"/>
          <w:sz w:val="20"/>
        </w:rPr>
        <w:t>Modern Large Language Models (LLMs) like GPT-4o, Claude 3.5 Sonnet, and Gemini 1.5 Pro exhibit persistent, identifiable statistical signatures in their output text. These markers include uniform sentence length distributions (low burstiness), predictable n-gram token transitions (low perplexity), and over-indexed transitional crutches ('delve into', 'testament to', 'tapestry of', 'moreover', 'crucial role').</w:t>
      </w:r>
    </w:p>
    <w:p>
      <w:pPr>
        <w:spacing w:before="0" w:after="120" w:line="276" w:lineRule="auto"/>
      </w:pPr>
      <w:r>
        <w:rPr>
          <w:rFonts w:ascii="Calibri" w:hAnsi="Calibri"/>
          <w:color w:val="1E293B"/>
          <w:sz w:val="20"/>
        </w:rPr>
        <w:t>For enterprise publishers, academic institutions, and corporate communications departments, uncalibrated AI text triggers automated originality flags, damages brand authority, and results in generic, soulless prose.</w:t>
      </w:r>
    </w:p>
    <w:p>
      <w:pPr>
        <w:spacing w:before="0" w:after="120" w:line="276" w:lineRule="auto"/>
      </w:pPr>
      <w:r>
        <w:rPr>
          <w:rFonts w:ascii="Calibri" w:hAnsi="Calibri"/>
          <w:color w:val="1E293B"/>
          <w:sz w:val="20"/>
        </w:rPr>
        <w:t>ValdaceAI introduces a multi-tier neural post-processing pipeline that transforms synthetic model outputs into organic, rhythmically authentic prose with human-like lexical diversity while strictly preserving factual accuracy and semantic intent.</w:t>
      </w:r>
    </w:p>
    <w:p>
      <w:r>
        <w:br w:type="page"/>
      </w:r>
    </w:p>
    <w:p>
      <w:pPr>
        <w:keepNext/>
        <w:spacing w:before="280" w:after="80"/>
      </w:pPr>
      <w:r>
        <w:rPr>
          <w:rFonts w:ascii="Calibri" w:hAnsi="Calibri"/>
          <w:b/>
          <w:color w:val="0F172A"/>
          <w:sz w:val="26"/>
        </w:rPr>
        <w:t>SECTION 2: CORE MATHEMATICAL ENGINE: PERPLEXITY &amp; BURSTINESS</w:t>
      </w:r>
    </w:p>
    <w:p>
      <w:pPr>
        <w:spacing w:before="0" w:after="120" w:line="276" w:lineRule="auto"/>
      </w:pPr>
      <w:r>
        <w:rPr>
          <w:rFonts w:ascii="Calibri" w:hAnsi="Calibri"/>
          <w:color w:val="1E293B"/>
          <w:sz w:val="20"/>
        </w:rPr>
        <w:t>The ValdaceAI calibration engine manipulates two core linguistic dimensions:</w:t>
      </w:r>
    </w:p>
    <w:p>
      <w:pPr>
        <w:spacing w:before="0" w:after="120" w:line="276" w:lineRule="auto"/>
      </w:pPr>
      <w:r>
        <w:rPr>
          <w:rFonts w:ascii="Calibri" w:hAnsi="Calibri"/>
          <w:color w:val="1E293B"/>
          <w:sz w:val="20"/>
        </w:rPr>
        <w:t>1. Dynamic Token Perplexity Expansion: Standard LLMs generate text by greedily sampling top-p probability distributions, resulting in flat, predictable word choices. ValdaceAI applies localized temperature scheduling (varying between 0.45 and 1.15 based on syntactic clause depth) to inject natural lexical entropy without inducing hallucinations.</w:t>
      </w:r>
    </w:p>
    <w:p>
      <w:pPr>
        <w:spacing w:before="0" w:after="120" w:line="276" w:lineRule="auto"/>
      </w:pPr>
      <w:r>
        <w:rPr>
          <w:rFonts w:ascii="Calibri" w:hAnsi="Calibri"/>
          <w:color w:val="1E293B"/>
          <w:sz w:val="20"/>
        </w:rPr>
        <w:t>2. Asymmetric Clause Burstiness Modulation: Human writing naturally oscillates between concise, punchy declarations (3 to 7 words) and complex, subordinated compound thoughts (28 to 45 words). ValdaceAI parses syntax trees to deliberately break rigid AI sentence structures, alternating cadence to mirror natural human breath and rhetorical pacing.</w:t>
      </w:r>
    </w:p>
    <w:p>
      <w:r>
        <w:br w:type="page"/>
      </w:r>
    </w:p>
    <w:p>
      <w:pPr>
        <w:keepNext/>
        <w:spacing w:before="280" w:after="80"/>
      </w:pPr>
      <w:r>
        <w:rPr>
          <w:rFonts w:ascii="Calibri" w:hAnsi="Calibri"/>
          <w:b/>
          <w:color w:val="0F172A"/>
          <w:sz w:val="26"/>
        </w:rPr>
        <w:t>SECTION 3: TONE CALIBRATION ARCHITECTURE &amp; STYLISTIC PROFILES</w:t>
      </w:r>
    </w:p>
    <w:p>
      <w:pPr>
        <w:spacing w:before="0" w:after="120" w:line="276" w:lineRule="auto"/>
      </w:pPr>
      <w:r>
        <w:rPr>
          <w:rFonts w:ascii="Calibri" w:hAnsi="Calibri"/>
          <w:color w:val="1E293B"/>
          <w:sz w:val="20"/>
        </w:rPr>
        <w:t>The platform enforces four specialized enterprise stylistic profiles:</w:t>
      </w:r>
    </w:p>
    <w:p>
      <w:pPr>
        <w:pStyle w:val="ListBullet"/>
        <w:spacing w:before="0" w:after="60" w:line="276" w:lineRule="auto"/>
      </w:pPr>
      <w:r>
        <w:rPr>
          <w:rFonts w:ascii="Calibri" w:hAnsi="Calibri"/>
          <w:color w:val="1E293B"/>
          <w:sz w:val="20"/>
        </w:rPr>
        <w:t>Executive &amp; Boardroom: Authoritative, concise, metric-dense. Eliminates passive voice and bureaucratic fluff; emphasizes decisive strategic actions.</w:t>
      </w:r>
    </w:p>
    <w:p>
      <w:pPr>
        <w:pStyle w:val="ListBullet"/>
        <w:spacing w:before="0" w:after="60" w:line="276" w:lineRule="auto"/>
      </w:pPr>
      <w:r>
        <w:rPr>
          <w:rFonts w:ascii="Calibri" w:hAnsi="Calibri"/>
          <w:color w:val="1E293B"/>
          <w:sz w:val="20"/>
        </w:rPr>
        <w:t>Academic &amp; Technical: Scholarly rigor with precise disciplinary terminology. Maintains neutral third-person register while eliminating repetitive AI transition adverbs.</w:t>
      </w:r>
    </w:p>
    <w:p>
      <w:pPr>
        <w:pStyle w:val="ListBullet"/>
        <w:spacing w:before="0" w:after="60" w:line="276" w:lineRule="auto"/>
      </w:pPr>
      <w:r>
        <w:rPr>
          <w:rFonts w:ascii="Calibri" w:hAnsi="Calibri"/>
          <w:color w:val="1E293B"/>
          <w:sz w:val="20"/>
        </w:rPr>
        <w:t>Editorial &amp; Creative: Narrative richness, sensory metaphor, varied cadence. Injects stylistic idiosyncrasy and human emotional resonance.</w:t>
      </w:r>
    </w:p>
    <w:p>
      <w:pPr>
        <w:pStyle w:val="ListBullet"/>
        <w:spacing w:before="0" w:after="60" w:line="276" w:lineRule="auto"/>
      </w:pPr>
      <w:r>
        <w:rPr>
          <w:rFonts w:ascii="Calibri" w:hAnsi="Calibri"/>
          <w:color w:val="1E293B"/>
          <w:sz w:val="20"/>
        </w:rPr>
        <w:t>Regulatory &amp; Legal: Uncompromising precision, statutory compliance, strict clause qualification, and unambiguous terms.</w:t>
      </w:r>
    </w:p>
    <w:p>
      <w:r>
        <w:br w:type="page"/>
      </w:r>
    </w:p>
    <w:p>
      <w:pPr>
        <w:keepNext/>
        <w:spacing w:before="280" w:after="80"/>
      </w:pPr>
      <w:r>
        <w:rPr>
          <w:rFonts w:ascii="Calibri" w:hAnsi="Calibri"/>
          <w:b/>
          <w:color w:val="0F172A"/>
          <w:sz w:val="26"/>
        </w:rPr>
        <w:t>SECTION 4: ENTERPRISE DATA PRIVACY &amp; COMPLIANCE SAFEGUARDS</w:t>
      </w:r>
    </w:p>
    <w:p>
      <w:pPr>
        <w:pStyle w:val="ListBullet"/>
        <w:spacing w:before="0" w:after="60" w:line="276" w:lineRule="auto"/>
      </w:pPr>
      <w:r>
        <w:rPr>
          <w:rFonts w:ascii="Calibri" w:hAnsi="Calibri"/>
          <w:color w:val="1E293B"/>
          <w:sz w:val="20"/>
        </w:rPr>
        <w:t>Zero-Data Retention (ZDR): Customer text payload inputs are processed entirely in ephemeral RAM and immediately purged upon response delivery. Customer data is strictly never utilized for foundational model retraining.</w:t>
      </w:r>
    </w:p>
    <w:p>
      <w:pPr>
        <w:pStyle w:val="ListBullet"/>
        <w:spacing w:before="0" w:after="60" w:line="276" w:lineRule="auto"/>
      </w:pPr>
      <w:r>
        <w:rPr>
          <w:rFonts w:ascii="Calibri" w:hAnsi="Calibri"/>
          <w:color w:val="1E293B"/>
          <w:sz w:val="20"/>
        </w:rPr>
        <w:t>SOC 2 Type II Audited: All API traffic encrypted via TLS 1.3 in transit and AES-256 at rest.</w:t>
      </w:r>
    </w:p>
    <w:p>
      <w:pPr>
        <w:pStyle w:val="ListBullet"/>
        <w:spacing w:before="0" w:after="60" w:line="276" w:lineRule="auto"/>
      </w:pPr>
      <w:r>
        <w:rPr>
          <w:rFonts w:ascii="Calibri" w:hAnsi="Calibri"/>
          <w:color w:val="1E293B"/>
          <w:sz w:val="20"/>
        </w:rPr>
        <w:t>High-Throughput REST API: Sub-800ms median latency across batch processing endpoints capable of handling 50,000 words per minute.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ValdaceAI Enterprise Platform — Technical Specifications, 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