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Cuevas Speech &amp; Language Therapy — Rough Intake Notes &amp; Policy Scramble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CLINIC INTAKE DESK NOTES (ROUGH DRAFT — ISSA CUEVAS)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Practice: Cuevas Speech &amp; Language Therapy, PLLC · 3410 Far West Blvd, Suite 280, Austin, TX 78731.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Issues with current 2019 paperwork: Parents constantly argue over missed sessions. Last week Mrs. Henderson refused to pay the $50 late fee because she claimed 'it wasn't clear in the paperwork' that sick days still hold the therapist's hour.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Need to change the policy wording: It must state '$75 reserved clinical hour fee' — not an admin charge or late fee. In pediatric speech pathology, we reserve an entire treatment room and 60 minutes of clinician time. Third-party insurance never reimburses missed hours.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HIPAA notice needs major overhaul: Form is from 2019. Does not mention telepractice video recording, two-way mirror observation rooms, or our new encrypted EHR tablet check-in system.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Guarantor confusion: We treat pediatric minors, but parents often write down split custody or say 'bill my ex-husband'. We need strict legal language that whoever signs the agreement is the sole Legal Financial Guarantor personally liable for all fees.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Superbills: Parents keep asking when superbills are ready for their out-of-network insurance reimbursement. We need a fixed schedule: Superbills are generated on the 1st of each calendar month with CPT codes (92507, 92523, 92526) and ICD-10 codes.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Disclaimer required: Need an explicit disclaimer that progress evaluations are clinical estimates and not guaranteed medical or developmental outcomes.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Cuevas Speech &amp; Language Therapy — Rough Intake Notes &amp; Poli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