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</w:pPr>
      <w:r>
        <w:rPr>
          <w:rFonts w:ascii="Calibri" w:hAnsi="Calibri"/>
          <w:b/>
          <w:color w:val="0F172A"/>
          <w:sz w:val="44"/>
        </w:rPr>
        <w:t>Q4 Board Deck — Unformatted Bullet Dump (40 Pages)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RAW BOARD BULLETS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Raw bullets on Q3 financials, ARR expansion, churn breakdown, and 2027 hiring plan.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Need condensed into a powerful 16-slide presentation and 2-page briefing memo.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>CONFIDENTIAL &amp; PROPRIETARY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Q4 Board Deck — Unformatted Bullet Dump (40 Pages)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