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Liza Facilities Maintenance — Vendor Onboarding Notes</w:t>
      </w:r>
    </w:p>
    <w:p>
      <w:r>
        <w:rPr>
          <w:sz w:val="22"/>
        </w:rPr>
        <w:t xml:space="preserve">Need formal W-9, Certificate of Insurance, and ACH direct deposit forms.</w:t>
      </w:r>
    </w:p>
    <w:p>
      <w:r>
        <w:rPr>
          <w:sz w:val="22"/>
        </w:rPr>
        <w:t xml:space="preserve">Rate schedule needs commercial pricing for 4-building medical plaza RFP.</w:t>
      </w:r>
    </w:p>
    <w:p>
      <w:r>
        <w:rPr>
          <w:sz w:val="22"/>
        </w:rPr>
        <w:t xml:space="preserve">Turnaround requirements: 48-hour standard commercial crew vs same-day priority.</w:t>
      </w:r>
    </w:p>
  </w:body>
</w:document>
</file>